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C317" w14:textId="77777777"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RPr="00643EF4" w14:paraId="6FEC4F50" w14:textId="77777777" w:rsidTr="0039709B">
        <w:tc>
          <w:tcPr>
            <w:tcW w:w="7848" w:type="dxa"/>
          </w:tcPr>
          <w:p w14:paraId="13C10BBF" w14:textId="77777777" w:rsidR="00916FF8" w:rsidRPr="00643EF4" w:rsidRDefault="004267A9" w:rsidP="004C7868">
            <w:pPr>
              <w:pStyle w:val="FileNumber0"/>
              <w:rPr>
                <w:sz w:val="28"/>
                <w:u w:val="single"/>
                <w:rtl/>
              </w:rPr>
            </w:pPr>
            <w:r w:rsidRPr="00643EF4">
              <w:rPr>
                <w:u w:val="single"/>
                <w:rtl/>
              </w:rPr>
              <w:t>בבית המשפט העליון בשבתו כבית משפט גבוה לצדק</w:t>
            </w:r>
          </w:p>
        </w:tc>
      </w:tr>
    </w:tbl>
    <w:p w14:paraId="57ABA15A" w14:textId="77777777" w:rsidR="00916FF8" w:rsidRPr="00643EF4"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RPr="00643EF4" w14:paraId="0AC3D607" w14:textId="77777777" w:rsidTr="0039709B">
        <w:trPr>
          <w:trHeight w:val="342"/>
        </w:trPr>
        <w:tc>
          <w:tcPr>
            <w:tcW w:w="9828" w:type="dxa"/>
          </w:tcPr>
          <w:p w14:paraId="6E59EC1C" w14:textId="77777777" w:rsidR="00916FF8" w:rsidRPr="00643EF4" w:rsidRDefault="004267A9">
            <w:pPr>
              <w:pStyle w:val="FileNumber"/>
              <w:rPr>
                <w:sz w:val="28"/>
                <w:szCs w:val="28"/>
              </w:rPr>
            </w:pPr>
            <w:bookmarkStart w:id="0" w:name="casename_body"/>
            <w:r w:rsidRPr="00643EF4">
              <w:rPr>
                <w:sz w:val="28"/>
                <w:szCs w:val="28"/>
                <w:rtl/>
              </w:rPr>
              <w:t>בג"ץ</w:t>
            </w:r>
            <w:r w:rsidR="00E0365A" w:rsidRPr="00643EF4">
              <w:rPr>
                <w:sz w:val="28"/>
                <w:szCs w:val="28"/>
                <w:rtl/>
              </w:rPr>
              <w:t xml:space="preserve"> </w:t>
            </w:r>
            <w:r w:rsidRPr="00643EF4">
              <w:rPr>
                <w:sz w:val="28"/>
                <w:szCs w:val="28"/>
                <w:rtl/>
              </w:rPr>
              <w:t>1308/17</w:t>
            </w:r>
          </w:p>
        </w:tc>
      </w:tr>
      <w:tr w:rsidR="004267A9" w:rsidRPr="00643EF4" w14:paraId="2AE8E787" w14:textId="77777777" w:rsidTr="0039709B">
        <w:trPr>
          <w:trHeight w:val="342"/>
        </w:trPr>
        <w:tc>
          <w:tcPr>
            <w:tcW w:w="9828" w:type="dxa"/>
          </w:tcPr>
          <w:p w14:paraId="15F674BB" w14:textId="77777777" w:rsidR="004267A9" w:rsidRPr="00643EF4" w:rsidRDefault="004267A9">
            <w:pPr>
              <w:pStyle w:val="FileNumber"/>
              <w:rPr>
                <w:sz w:val="28"/>
                <w:szCs w:val="28"/>
              </w:rPr>
            </w:pPr>
            <w:r w:rsidRPr="00643EF4">
              <w:rPr>
                <w:sz w:val="28"/>
                <w:szCs w:val="28"/>
                <w:rtl/>
              </w:rPr>
              <w:t>בג"ץ</w:t>
            </w:r>
            <w:r w:rsidR="00E0365A" w:rsidRPr="00643EF4">
              <w:rPr>
                <w:sz w:val="28"/>
                <w:szCs w:val="28"/>
                <w:rtl/>
              </w:rPr>
              <w:t xml:space="preserve"> </w:t>
            </w:r>
            <w:r w:rsidRPr="00643EF4">
              <w:rPr>
                <w:sz w:val="28"/>
                <w:szCs w:val="28"/>
                <w:rtl/>
              </w:rPr>
              <w:t>2055/17</w:t>
            </w:r>
          </w:p>
        </w:tc>
      </w:tr>
      <w:bookmarkEnd w:id="0"/>
    </w:tbl>
    <w:p w14:paraId="4406E55C" w14:textId="77777777" w:rsidR="00916FF8" w:rsidRPr="00643EF4"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RPr="00643EF4" w14:paraId="11F7E33D" w14:textId="77777777" w:rsidTr="00EC23AC">
        <w:trPr>
          <w:trHeight w:val="287"/>
        </w:trPr>
        <w:tc>
          <w:tcPr>
            <w:tcW w:w="3261" w:type="dxa"/>
          </w:tcPr>
          <w:p w14:paraId="5799C08E" w14:textId="77777777" w:rsidR="00036227" w:rsidRPr="00643EF4" w:rsidRDefault="00CB7600">
            <w:pPr>
              <w:pStyle w:val="BodyRuller"/>
              <w:rPr>
                <w:rFonts w:cs="Miriam"/>
                <w:b/>
                <w:bCs/>
                <w:u w:val="single"/>
              </w:rPr>
            </w:pPr>
            <w:r w:rsidRPr="00643EF4">
              <w:rPr>
                <w:rFonts w:hint="cs"/>
                <w:rtl/>
              </w:rPr>
              <w:t>ל</w:t>
            </w:r>
            <w:r w:rsidR="00036227" w:rsidRPr="00643EF4">
              <w:rPr>
                <w:rtl/>
              </w:rPr>
              <w:t>פני:</w:t>
            </w:r>
            <w:r w:rsidR="00036227" w:rsidRPr="00643EF4">
              <w:rPr>
                <w:rtl/>
              </w:rPr>
              <w:tab/>
            </w:r>
          </w:p>
        </w:tc>
        <w:tc>
          <w:tcPr>
            <w:tcW w:w="5239" w:type="dxa"/>
          </w:tcPr>
          <w:p w14:paraId="407CE206" w14:textId="77777777" w:rsidR="00036227" w:rsidRPr="00643EF4" w:rsidRDefault="004267A9">
            <w:pPr>
              <w:pStyle w:val="BodyRuller"/>
            </w:pPr>
            <w:r w:rsidRPr="00643EF4">
              <w:rPr>
                <w:rtl/>
              </w:rPr>
              <w:t>כבוד הנשיאה א' חיות</w:t>
            </w:r>
          </w:p>
        </w:tc>
      </w:tr>
      <w:tr w:rsidR="004267A9" w:rsidRPr="00643EF4" w14:paraId="5621EEA3" w14:textId="77777777" w:rsidTr="00EC23AC">
        <w:trPr>
          <w:trHeight w:val="287"/>
        </w:trPr>
        <w:tc>
          <w:tcPr>
            <w:tcW w:w="3261" w:type="dxa"/>
          </w:tcPr>
          <w:p w14:paraId="6DD55394" w14:textId="77777777" w:rsidR="004267A9" w:rsidRPr="00643EF4" w:rsidRDefault="004267A9">
            <w:pPr>
              <w:pStyle w:val="BodyRuller"/>
              <w:rPr>
                <w:rtl/>
              </w:rPr>
            </w:pPr>
          </w:p>
        </w:tc>
        <w:tc>
          <w:tcPr>
            <w:tcW w:w="5239" w:type="dxa"/>
          </w:tcPr>
          <w:p w14:paraId="2BF44C5A" w14:textId="77777777" w:rsidR="004267A9" w:rsidRPr="00643EF4" w:rsidRDefault="004267A9">
            <w:pPr>
              <w:pStyle w:val="BodyRuller"/>
              <w:rPr>
                <w:rtl/>
              </w:rPr>
            </w:pPr>
            <w:r w:rsidRPr="00643EF4">
              <w:rPr>
                <w:rtl/>
              </w:rPr>
              <w:t>כבוד המשנה לנשיאה ח' מלצר</w:t>
            </w:r>
          </w:p>
        </w:tc>
      </w:tr>
      <w:tr w:rsidR="004267A9" w:rsidRPr="00643EF4" w14:paraId="31BCB5CF" w14:textId="77777777" w:rsidTr="00EC23AC">
        <w:trPr>
          <w:trHeight w:val="287"/>
        </w:trPr>
        <w:tc>
          <w:tcPr>
            <w:tcW w:w="3261" w:type="dxa"/>
          </w:tcPr>
          <w:p w14:paraId="6ECCCA2A" w14:textId="77777777" w:rsidR="004267A9" w:rsidRPr="00643EF4" w:rsidRDefault="004267A9">
            <w:pPr>
              <w:pStyle w:val="BodyRuller"/>
              <w:rPr>
                <w:rtl/>
              </w:rPr>
            </w:pPr>
          </w:p>
        </w:tc>
        <w:tc>
          <w:tcPr>
            <w:tcW w:w="5239" w:type="dxa"/>
          </w:tcPr>
          <w:p w14:paraId="41749D20" w14:textId="77777777" w:rsidR="004267A9" w:rsidRPr="00643EF4" w:rsidRDefault="004267A9">
            <w:pPr>
              <w:pStyle w:val="BodyRuller"/>
              <w:rPr>
                <w:rtl/>
              </w:rPr>
            </w:pPr>
            <w:r w:rsidRPr="00643EF4">
              <w:rPr>
                <w:rtl/>
              </w:rPr>
              <w:t>כבוד השופט נ' הנדל</w:t>
            </w:r>
          </w:p>
        </w:tc>
      </w:tr>
      <w:tr w:rsidR="004267A9" w:rsidRPr="00643EF4" w14:paraId="5A754FCB" w14:textId="77777777" w:rsidTr="00EC23AC">
        <w:trPr>
          <w:trHeight w:val="287"/>
        </w:trPr>
        <w:tc>
          <w:tcPr>
            <w:tcW w:w="3261" w:type="dxa"/>
          </w:tcPr>
          <w:p w14:paraId="2F97903B" w14:textId="77777777" w:rsidR="004267A9" w:rsidRPr="00643EF4" w:rsidRDefault="004267A9">
            <w:pPr>
              <w:pStyle w:val="BodyRuller"/>
              <w:rPr>
                <w:rtl/>
              </w:rPr>
            </w:pPr>
          </w:p>
        </w:tc>
        <w:tc>
          <w:tcPr>
            <w:tcW w:w="5239" w:type="dxa"/>
          </w:tcPr>
          <w:p w14:paraId="6484EC97" w14:textId="77777777" w:rsidR="004267A9" w:rsidRPr="00643EF4" w:rsidRDefault="004267A9">
            <w:pPr>
              <w:pStyle w:val="BodyRuller"/>
              <w:rPr>
                <w:rtl/>
              </w:rPr>
            </w:pPr>
            <w:r w:rsidRPr="00643EF4">
              <w:rPr>
                <w:rtl/>
              </w:rPr>
              <w:t>כבוד השופט ע' פוגלמן</w:t>
            </w:r>
          </w:p>
        </w:tc>
      </w:tr>
      <w:tr w:rsidR="004267A9" w:rsidRPr="00643EF4" w14:paraId="6AC55100" w14:textId="77777777" w:rsidTr="00EC23AC">
        <w:trPr>
          <w:trHeight w:val="287"/>
        </w:trPr>
        <w:tc>
          <w:tcPr>
            <w:tcW w:w="3261" w:type="dxa"/>
          </w:tcPr>
          <w:p w14:paraId="61831103" w14:textId="77777777" w:rsidR="004267A9" w:rsidRPr="00643EF4" w:rsidRDefault="004267A9">
            <w:pPr>
              <w:pStyle w:val="BodyRuller"/>
              <w:rPr>
                <w:rtl/>
              </w:rPr>
            </w:pPr>
          </w:p>
        </w:tc>
        <w:tc>
          <w:tcPr>
            <w:tcW w:w="5239" w:type="dxa"/>
          </w:tcPr>
          <w:p w14:paraId="7C307A00" w14:textId="77777777" w:rsidR="004267A9" w:rsidRPr="00643EF4" w:rsidRDefault="004267A9">
            <w:pPr>
              <w:pStyle w:val="BodyRuller"/>
              <w:rPr>
                <w:rtl/>
              </w:rPr>
            </w:pPr>
            <w:r w:rsidRPr="00643EF4">
              <w:rPr>
                <w:rtl/>
              </w:rPr>
              <w:t>כבוד השופט י' עמית</w:t>
            </w:r>
          </w:p>
        </w:tc>
      </w:tr>
      <w:tr w:rsidR="004267A9" w:rsidRPr="00643EF4" w14:paraId="7EA0BD21" w14:textId="77777777" w:rsidTr="00EC23AC">
        <w:trPr>
          <w:trHeight w:val="287"/>
        </w:trPr>
        <w:tc>
          <w:tcPr>
            <w:tcW w:w="3261" w:type="dxa"/>
          </w:tcPr>
          <w:p w14:paraId="2EC168B5" w14:textId="77777777" w:rsidR="004267A9" w:rsidRPr="00643EF4" w:rsidRDefault="004267A9">
            <w:pPr>
              <w:pStyle w:val="BodyRuller"/>
              <w:rPr>
                <w:rtl/>
              </w:rPr>
            </w:pPr>
          </w:p>
        </w:tc>
        <w:tc>
          <w:tcPr>
            <w:tcW w:w="5239" w:type="dxa"/>
          </w:tcPr>
          <w:p w14:paraId="4CDABD66" w14:textId="77777777" w:rsidR="004267A9" w:rsidRPr="00643EF4" w:rsidRDefault="004267A9">
            <w:pPr>
              <w:pStyle w:val="BodyRuller"/>
              <w:rPr>
                <w:rtl/>
              </w:rPr>
            </w:pPr>
            <w:r w:rsidRPr="00643EF4">
              <w:rPr>
                <w:rtl/>
              </w:rPr>
              <w:t>כבוד השופט נ' סולברג</w:t>
            </w:r>
          </w:p>
        </w:tc>
      </w:tr>
      <w:tr w:rsidR="004267A9" w:rsidRPr="00643EF4" w14:paraId="2EA44713" w14:textId="77777777" w:rsidTr="00EC23AC">
        <w:trPr>
          <w:trHeight w:val="287"/>
        </w:trPr>
        <w:tc>
          <w:tcPr>
            <w:tcW w:w="3261" w:type="dxa"/>
          </w:tcPr>
          <w:p w14:paraId="77849B56" w14:textId="77777777" w:rsidR="004267A9" w:rsidRPr="00643EF4" w:rsidRDefault="004267A9">
            <w:pPr>
              <w:pStyle w:val="BodyRuller"/>
              <w:rPr>
                <w:rtl/>
              </w:rPr>
            </w:pPr>
          </w:p>
        </w:tc>
        <w:tc>
          <w:tcPr>
            <w:tcW w:w="5239" w:type="dxa"/>
          </w:tcPr>
          <w:p w14:paraId="3548384A" w14:textId="77777777" w:rsidR="004267A9" w:rsidRPr="00643EF4" w:rsidRDefault="004267A9">
            <w:pPr>
              <w:pStyle w:val="BodyRuller"/>
              <w:rPr>
                <w:rtl/>
              </w:rPr>
            </w:pPr>
            <w:r w:rsidRPr="00643EF4">
              <w:rPr>
                <w:rtl/>
              </w:rPr>
              <w:t>כבוד השופטת ד' ברק-ארז</w:t>
            </w:r>
          </w:p>
        </w:tc>
      </w:tr>
      <w:tr w:rsidR="004267A9" w:rsidRPr="00643EF4" w14:paraId="6C1F4AD3" w14:textId="77777777" w:rsidTr="00EC23AC">
        <w:trPr>
          <w:trHeight w:val="287"/>
        </w:trPr>
        <w:tc>
          <w:tcPr>
            <w:tcW w:w="3261" w:type="dxa"/>
          </w:tcPr>
          <w:p w14:paraId="6F4775B9" w14:textId="77777777" w:rsidR="004267A9" w:rsidRPr="00643EF4" w:rsidRDefault="004267A9">
            <w:pPr>
              <w:pStyle w:val="BodyRuller"/>
              <w:rPr>
                <w:rtl/>
              </w:rPr>
            </w:pPr>
          </w:p>
        </w:tc>
        <w:tc>
          <w:tcPr>
            <w:tcW w:w="5239" w:type="dxa"/>
          </w:tcPr>
          <w:p w14:paraId="237C2189" w14:textId="77777777" w:rsidR="004267A9" w:rsidRPr="00643EF4" w:rsidRDefault="004267A9">
            <w:pPr>
              <w:pStyle w:val="BodyRuller"/>
              <w:rPr>
                <w:rtl/>
              </w:rPr>
            </w:pPr>
            <w:r w:rsidRPr="00643EF4">
              <w:rPr>
                <w:rtl/>
              </w:rPr>
              <w:t>כבוד השופט מ' מזוז</w:t>
            </w:r>
          </w:p>
        </w:tc>
      </w:tr>
      <w:tr w:rsidR="004267A9" w:rsidRPr="00643EF4" w14:paraId="589AFEDB" w14:textId="77777777" w:rsidTr="00EC23AC">
        <w:trPr>
          <w:trHeight w:val="287"/>
        </w:trPr>
        <w:tc>
          <w:tcPr>
            <w:tcW w:w="3261" w:type="dxa"/>
          </w:tcPr>
          <w:p w14:paraId="07867A7D" w14:textId="77777777" w:rsidR="004267A9" w:rsidRPr="00643EF4" w:rsidRDefault="004267A9">
            <w:pPr>
              <w:pStyle w:val="BodyRuller"/>
              <w:rPr>
                <w:rtl/>
              </w:rPr>
            </w:pPr>
          </w:p>
        </w:tc>
        <w:tc>
          <w:tcPr>
            <w:tcW w:w="5239" w:type="dxa"/>
          </w:tcPr>
          <w:p w14:paraId="4D15CE5F" w14:textId="77777777" w:rsidR="004267A9" w:rsidRPr="00643EF4" w:rsidRDefault="004267A9">
            <w:pPr>
              <w:pStyle w:val="BodyRuller"/>
              <w:rPr>
                <w:rtl/>
              </w:rPr>
            </w:pPr>
            <w:r w:rsidRPr="00643EF4">
              <w:rPr>
                <w:rtl/>
              </w:rPr>
              <w:t>כבוד השופטת ע' ברון</w:t>
            </w:r>
          </w:p>
        </w:tc>
      </w:tr>
    </w:tbl>
    <w:p w14:paraId="4D300A6C" w14:textId="77777777" w:rsidR="00916FF8" w:rsidRPr="00643EF4"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RPr="00643EF4" w14:paraId="59574651" w14:textId="77777777" w:rsidTr="00E0365A">
        <w:trPr>
          <w:trHeight w:val="287"/>
        </w:trPr>
        <w:tc>
          <w:tcPr>
            <w:tcW w:w="3261" w:type="dxa"/>
          </w:tcPr>
          <w:p w14:paraId="470CBC88" w14:textId="77777777" w:rsidR="00D00CB7" w:rsidRPr="00643EF4" w:rsidRDefault="004267A9" w:rsidP="00E0365A">
            <w:pPr>
              <w:pStyle w:val="BodyRuller"/>
              <w:rPr>
                <w:rFonts w:ascii="David" w:hAnsi="David"/>
              </w:rPr>
            </w:pPr>
            <w:r w:rsidRPr="00643EF4">
              <w:rPr>
                <w:rFonts w:ascii="David" w:hAnsi="David"/>
                <w:rtl/>
              </w:rPr>
              <w:t>העותרים</w:t>
            </w:r>
            <w:r w:rsidR="005B1E2D" w:rsidRPr="00643EF4">
              <w:rPr>
                <w:rFonts w:ascii="David" w:hAnsi="David" w:hint="cs"/>
                <w:rtl/>
              </w:rPr>
              <w:t xml:space="preserve"> בבג"ץ 1308/17</w:t>
            </w:r>
            <w:r w:rsidRPr="00643EF4">
              <w:rPr>
                <w:rFonts w:ascii="David" w:hAnsi="David"/>
                <w:rtl/>
              </w:rPr>
              <w:t>:</w:t>
            </w:r>
          </w:p>
        </w:tc>
        <w:tc>
          <w:tcPr>
            <w:tcW w:w="5239" w:type="dxa"/>
          </w:tcPr>
          <w:p w14:paraId="4EA98B71" w14:textId="77777777" w:rsidR="00D00CB7" w:rsidRPr="00643EF4" w:rsidRDefault="004267A9" w:rsidP="00E0365A">
            <w:pPr>
              <w:pStyle w:val="BodyRuller"/>
            </w:pPr>
            <w:r w:rsidRPr="00643EF4">
              <w:rPr>
                <w:rtl/>
              </w:rPr>
              <w:t>1. עיריית סלואד</w:t>
            </w:r>
          </w:p>
        </w:tc>
      </w:tr>
      <w:tr w:rsidR="004267A9" w:rsidRPr="00643EF4" w14:paraId="70B52ECB" w14:textId="77777777" w:rsidTr="00E0365A">
        <w:trPr>
          <w:trHeight w:val="287"/>
        </w:trPr>
        <w:tc>
          <w:tcPr>
            <w:tcW w:w="3261" w:type="dxa"/>
          </w:tcPr>
          <w:p w14:paraId="04316A38" w14:textId="77777777" w:rsidR="004267A9" w:rsidRPr="00643EF4" w:rsidRDefault="004267A9" w:rsidP="00E0365A">
            <w:pPr>
              <w:pStyle w:val="BodyRuller"/>
              <w:rPr>
                <w:rFonts w:ascii="David" w:hAnsi="David"/>
                <w:rtl/>
              </w:rPr>
            </w:pPr>
          </w:p>
        </w:tc>
        <w:tc>
          <w:tcPr>
            <w:tcW w:w="5239" w:type="dxa"/>
          </w:tcPr>
          <w:p w14:paraId="76C4A32F" w14:textId="77777777" w:rsidR="004267A9" w:rsidRPr="00643EF4" w:rsidRDefault="004267A9" w:rsidP="00E0365A">
            <w:pPr>
              <w:pStyle w:val="BodyRuller"/>
              <w:rPr>
                <w:rtl/>
              </w:rPr>
            </w:pPr>
            <w:r w:rsidRPr="00643EF4">
              <w:rPr>
                <w:rtl/>
              </w:rPr>
              <w:t>2. עיריית נעלין</w:t>
            </w:r>
          </w:p>
        </w:tc>
      </w:tr>
      <w:tr w:rsidR="004267A9" w:rsidRPr="00643EF4" w14:paraId="2ECBD41B" w14:textId="77777777" w:rsidTr="00E0365A">
        <w:trPr>
          <w:trHeight w:val="287"/>
        </w:trPr>
        <w:tc>
          <w:tcPr>
            <w:tcW w:w="3261" w:type="dxa"/>
          </w:tcPr>
          <w:p w14:paraId="71D11129" w14:textId="77777777" w:rsidR="004267A9" w:rsidRPr="00643EF4" w:rsidRDefault="004267A9" w:rsidP="00E0365A">
            <w:pPr>
              <w:pStyle w:val="BodyRuller"/>
              <w:rPr>
                <w:rFonts w:ascii="David" w:hAnsi="David"/>
                <w:rtl/>
              </w:rPr>
            </w:pPr>
          </w:p>
        </w:tc>
        <w:tc>
          <w:tcPr>
            <w:tcW w:w="5239" w:type="dxa"/>
          </w:tcPr>
          <w:p w14:paraId="7C8C55FD" w14:textId="77777777" w:rsidR="004267A9" w:rsidRPr="00643EF4" w:rsidRDefault="004267A9" w:rsidP="00E0365A">
            <w:pPr>
              <w:pStyle w:val="BodyRuller"/>
              <w:rPr>
                <w:rtl/>
              </w:rPr>
            </w:pPr>
            <w:r w:rsidRPr="00643EF4">
              <w:rPr>
                <w:rtl/>
              </w:rPr>
              <w:t>3. מועצה כפרית בורקא</w:t>
            </w:r>
          </w:p>
        </w:tc>
      </w:tr>
      <w:tr w:rsidR="004267A9" w:rsidRPr="00643EF4" w14:paraId="35C9DD64" w14:textId="77777777" w:rsidTr="00E0365A">
        <w:trPr>
          <w:trHeight w:val="287"/>
        </w:trPr>
        <w:tc>
          <w:tcPr>
            <w:tcW w:w="3261" w:type="dxa"/>
          </w:tcPr>
          <w:p w14:paraId="5C94D9C3" w14:textId="77777777" w:rsidR="004267A9" w:rsidRPr="00643EF4" w:rsidRDefault="004267A9" w:rsidP="00E0365A">
            <w:pPr>
              <w:pStyle w:val="BodyRuller"/>
              <w:rPr>
                <w:rFonts w:ascii="David" w:hAnsi="David"/>
                <w:rtl/>
              </w:rPr>
            </w:pPr>
          </w:p>
        </w:tc>
        <w:tc>
          <w:tcPr>
            <w:tcW w:w="5239" w:type="dxa"/>
          </w:tcPr>
          <w:p w14:paraId="5572F265" w14:textId="77777777" w:rsidR="004267A9" w:rsidRPr="00643EF4" w:rsidRDefault="004267A9" w:rsidP="00E0365A">
            <w:pPr>
              <w:pStyle w:val="BodyRuller"/>
              <w:rPr>
                <w:rtl/>
              </w:rPr>
            </w:pPr>
            <w:r w:rsidRPr="00643EF4">
              <w:rPr>
                <w:rtl/>
              </w:rPr>
              <w:t>4. מועצה כפרית בלעין</w:t>
            </w:r>
          </w:p>
        </w:tc>
      </w:tr>
      <w:tr w:rsidR="004267A9" w:rsidRPr="00643EF4" w14:paraId="6EF2C384" w14:textId="77777777" w:rsidTr="00E0365A">
        <w:trPr>
          <w:trHeight w:val="287"/>
        </w:trPr>
        <w:tc>
          <w:tcPr>
            <w:tcW w:w="3261" w:type="dxa"/>
          </w:tcPr>
          <w:p w14:paraId="1C3F10DC" w14:textId="77777777" w:rsidR="004267A9" w:rsidRPr="00643EF4" w:rsidRDefault="004267A9" w:rsidP="00E0365A">
            <w:pPr>
              <w:pStyle w:val="BodyRuller"/>
              <w:rPr>
                <w:rFonts w:ascii="David" w:hAnsi="David"/>
                <w:rtl/>
              </w:rPr>
            </w:pPr>
          </w:p>
        </w:tc>
        <w:tc>
          <w:tcPr>
            <w:tcW w:w="5239" w:type="dxa"/>
          </w:tcPr>
          <w:p w14:paraId="3A767EFF" w14:textId="77777777" w:rsidR="004267A9" w:rsidRPr="00643EF4" w:rsidRDefault="004267A9" w:rsidP="00E0365A">
            <w:pPr>
              <w:pStyle w:val="BodyRuller"/>
              <w:rPr>
                <w:rtl/>
              </w:rPr>
            </w:pPr>
            <w:r w:rsidRPr="00643EF4">
              <w:rPr>
                <w:rtl/>
              </w:rPr>
              <w:t>5. מועצה כפרית ח'רבתא בני חארת'</w:t>
            </w:r>
          </w:p>
        </w:tc>
      </w:tr>
      <w:tr w:rsidR="004267A9" w:rsidRPr="00643EF4" w14:paraId="74A058A0" w14:textId="77777777" w:rsidTr="00E0365A">
        <w:trPr>
          <w:trHeight w:val="287"/>
        </w:trPr>
        <w:tc>
          <w:tcPr>
            <w:tcW w:w="3261" w:type="dxa"/>
          </w:tcPr>
          <w:p w14:paraId="724398B5" w14:textId="77777777" w:rsidR="004267A9" w:rsidRPr="00643EF4" w:rsidRDefault="004267A9" w:rsidP="00E0365A">
            <w:pPr>
              <w:pStyle w:val="BodyRuller"/>
              <w:rPr>
                <w:rFonts w:ascii="David" w:hAnsi="David"/>
                <w:rtl/>
              </w:rPr>
            </w:pPr>
          </w:p>
        </w:tc>
        <w:tc>
          <w:tcPr>
            <w:tcW w:w="5239" w:type="dxa"/>
          </w:tcPr>
          <w:p w14:paraId="26465E67" w14:textId="77777777" w:rsidR="004267A9" w:rsidRPr="00643EF4" w:rsidRDefault="004267A9" w:rsidP="00E0365A">
            <w:pPr>
              <w:pStyle w:val="BodyRuller"/>
              <w:rPr>
                <w:rtl/>
              </w:rPr>
            </w:pPr>
            <w:r w:rsidRPr="00643EF4">
              <w:rPr>
                <w:rtl/>
              </w:rPr>
              <w:t>6. מועצה כפרית דיר קדיס</w:t>
            </w:r>
          </w:p>
        </w:tc>
      </w:tr>
      <w:tr w:rsidR="004267A9" w:rsidRPr="00643EF4" w14:paraId="5B9A5AA7" w14:textId="77777777" w:rsidTr="00E0365A">
        <w:trPr>
          <w:trHeight w:val="287"/>
        </w:trPr>
        <w:tc>
          <w:tcPr>
            <w:tcW w:w="3261" w:type="dxa"/>
          </w:tcPr>
          <w:p w14:paraId="4674EFB4" w14:textId="77777777" w:rsidR="004267A9" w:rsidRPr="00643EF4" w:rsidRDefault="004267A9" w:rsidP="00E0365A">
            <w:pPr>
              <w:pStyle w:val="BodyRuller"/>
              <w:rPr>
                <w:rFonts w:ascii="David" w:hAnsi="David"/>
                <w:rtl/>
              </w:rPr>
            </w:pPr>
          </w:p>
        </w:tc>
        <w:tc>
          <w:tcPr>
            <w:tcW w:w="5239" w:type="dxa"/>
          </w:tcPr>
          <w:p w14:paraId="0F1CB6B8" w14:textId="77777777" w:rsidR="004267A9" w:rsidRPr="00643EF4" w:rsidRDefault="004267A9" w:rsidP="00E0365A">
            <w:pPr>
              <w:pStyle w:val="BodyRuller"/>
              <w:rPr>
                <w:rtl/>
              </w:rPr>
            </w:pPr>
            <w:r w:rsidRPr="00643EF4">
              <w:rPr>
                <w:rtl/>
              </w:rPr>
              <w:t>7. מועצה כפרית אלנאקורה</w:t>
            </w:r>
          </w:p>
        </w:tc>
      </w:tr>
      <w:tr w:rsidR="004267A9" w:rsidRPr="00643EF4" w14:paraId="1CB2D70C" w14:textId="77777777" w:rsidTr="00E0365A">
        <w:trPr>
          <w:trHeight w:val="287"/>
        </w:trPr>
        <w:tc>
          <w:tcPr>
            <w:tcW w:w="3261" w:type="dxa"/>
          </w:tcPr>
          <w:p w14:paraId="4B94A025" w14:textId="77777777" w:rsidR="004267A9" w:rsidRPr="00643EF4" w:rsidRDefault="004267A9" w:rsidP="00E0365A">
            <w:pPr>
              <w:pStyle w:val="BodyRuller"/>
              <w:rPr>
                <w:rFonts w:ascii="David" w:hAnsi="David"/>
                <w:rtl/>
              </w:rPr>
            </w:pPr>
          </w:p>
        </w:tc>
        <w:tc>
          <w:tcPr>
            <w:tcW w:w="5239" w:type="dxa"/>
          </w:tcPr>
          <w:p w14:paraId="1FD07F5D" w14:textId="77777777" w:rsidR="004267A9" w:rsidRPr="00643EF4" w:rsidRDefault="004267A9" w:rsidP="00E0365A">
            <w:pPr>
              <w:pStyle w:val="BodyRuller"/>
              <w:rPr>
                <w:rtl/>
              </w:rPr>
            </w:pPr>
            <w:r w:rsidRPr="00643EF4">
              <w:rPr>
                <w:rtl/>
              </w:rPr>
              <w:t>8. מועצה כפרית עראק בורין</w:t>
            </w:r>
          </w:p>
        </w:tc>
      </w:tr>
      <w:tr w:rsidR="004267A9" w:rsidRPr="00643EF4" w14:paraId="008EA055" w14:textId="77777777" w:rsidTr="00E0365A">
        <w:trPr>
          <w:trHeight w:val="287"/>
        </w:trPr>
        <w:tc>
          <w:tcPr>
            <w:tcW w:w="3261" w:type="dxa"/>
          </w:tcPr>
          <w:p w14:paraId="13F0AD0C" w14:textId="77777777" w:rsidR="004267A9" w:rsidRPr="00643EF4" w:rsidRDefault="004267A9" w:rsidP="00E0365A">
            <w:pPr>
              <w:pStyle w:val="BodyRuller"/>
              <w:rPr>
                <w:rFonts w:ascii="David" w:hAnsi="David"/>
                <w:rtl/>
              </w:rPr>
            </w:pPr>
          </w:p>
        </w:tc>
        <w:tc>
          <w:tcPr>
            <w:tcW w:w="5239" w:type="dxa"/>
          </w:tcPr>
          <w:p w14:paraId="132B55FE" w14:textId="77777777" w:rsidR="004267A9" w:rsidRPr="00643EF4" w:rsidRDefault="004267A9" w:rsidP="00E0365A">
            <w:pPr>
              <w:pStyle w:val="BodyRuller"/>
              <w:rPr>
                <w:rtl/>
              </w:rPr>
            </w:pPr>
            <w:r w:rsidRPr="00643EF4">
              <w:rPr>
                <w:rtl/>
              </w:rPr>
              <w:t>9. מועצה כפרית כפר קליל</w:t>
            </w:r>
          </w:p>
        </w:tc>
      </w:tr>
      <w:tr w:rsidR="004267A9" w:rsidRPr="00643EF4" w14:paraId="515602ED" w14:textId="77777777" w:rsidTr="00E0365A">
        <w:trPr>
          <w:trHeight w:val="287"/>
        </w:trPr>
        <w:tc>
          <w:tcPr>
            <w:tcW w:w="3261" w:type="dxa"/>
          </w:tcPr>
          <w:p w14:paraId="7AA9930C" w14:textId="77777777" w:rsidR="004267A9" w:rsidRPr="00643EF4" w:rsidRDefault="004267A9" w:rsidP="00E0365A">
            <w:pPr>
              <w:pStyle w:val="BodyRuller"/>
              <w:rPr>
                <w:rFonts w:ascii="David" w:hAnsi="David"/>
                <w:rtl/>
              </w:rPr>
            </w:pPr>
          </w:p>
        </w:tc>
        <w:tc>
          <w:tcPr>
            <w:tcW w:w="5239" w:type="dxa"/>
          </w:tcPr>
          <w:p w14:paraId="567B4013" w14:textId="77777777" w:rsidR="004267A9" w:rsidRPr="00643EF4" w:rsidRDefault="004267A9" w:rsidP="00E0365A">
            <w:pPr>
              <w:pStyle w:val="BodyRuller"/>
              <w:rPr>
                <w:rtl/>
              </w:rPr>
            </w:pPr>
            <w:r w:rsidRPr="00643EF4">
              <w:rPr>
                <w:rtl/>
              </w:rPr>
              <w:t>10. מועצה כפרית דיר שרף</w:t>
            </w:r>
          </w:p>
        </w:tc>
      </w:tr>
      <w:tr w:rsidR="004267A9" w:rsidRPr="00643EF4" w14:paraId="557D152F" w14:textId="77777777" w:rsidTr="00E0365A">
        <w:trPr>
          <w:trHeight w:val="287"/>
        </w:trPr>
        <w:tc>
          <w:tcPr>
            <w:tcW w:w="3261" w:type="dxa"/>
          </w:tcPr>
          <w:p w14:paraId="6BBB18C2" w14:textId="77777777" w:rsidR="004267A9" w:rsidRPr="00643EF4" w:rsidRDefault="004267A9" w:rsidP="00E0365A">
            <w:pPr>
              <w:pStyle w:val="BodyRuller"/>
              <w:rPr>
                <w:rFonts w:ascii="David" w:hAnsi="David"/>
                <w:rtl/>
              </w:rPr>
            </w:pPr>
          </w:p>
        </w:tc>
        <w:tc>
          <w:tcPr>
            <w:tcW w:w="5239" w:type="dxa"/>
          </w:tcPr>
          <w:p w14:paraId="03B1C271" w14:textId="77777777" w:rsidR="004267A9" w:rsidRPr="00643EF4" w:rsidRDefault="004267A9" w:rsidP="00E0365A">
            <w:pPr>
              <w:pStyle w:val="BodyRuller"/>
              <w:rPr>
                <w:rtl/>
              </w:rPr>
            </w:pPr>
            <w:r w:rsidRPr="00643EF4">
              <w:rPr>
                <w:rtl/>
              </w:rPr>
              <w:t>11. מועצה כפרית בורין</w:t>
            </w:r>
          </w:p>
        </w:tc>
      </w:tr>
      <w:tr w:rsidR="004267A9" w:rsidRPr="00643EF4" w14:paraId="53F68E5D" w14:textId="77777777" w:rsidTr="00E0365A">
        <w:trPr>
          <w:trHeight w:val="287"/>
        </w:trPr>
        <w:tc>
          <w:tcPr>
            <w:tcW w:w="3261" w:type="dxa"/>
          </w:tcPr>
          <w:p w14:paraId="3AA28564" w14:textId="77777777" w:rsidR="004267A9" w:rsidRPr="00643EF4" w:rsidRDefault="004267A9" w:rsidP="00E0365A">
            <w:pPr>
              <w:pStyle w:val="BodyRuller"/>
              <w:rPr>
                <w:rFonts w:ascii="David" w:hAnsi="David"/>
                <w:rtl/>
              </w:rPr>
            </w:pPr>
          </w:p>
        </w:tc>
        <w:tc>
          <w:tcPr>
            <w:tcW w:w="5239" w:type="dxa"/>
          </w:tcPr>
          <w:p w14:paraId="07E41497" w14:textId="77777777" w:rsidR="004267A9" w:rsidRPr="00643EF4" w:rsidRDefault="004267A9" w:rsidP="00E0365A">
            <w:pPr>
              <w:pStyle w:val="BodyRuller"/>
              <w:rPr>
                <w:rtl/>
              </w:rPr>
            </w:pPr>
            <w:r w:rsidRPr="00643EF4">
              <w:rPr>
                <w:rtl/>
              </w:rPr>
              <w:t>12. מועצה כפרית עסירה אלקבליה</w:t>
            </w:r>
          </w:p>
        </w:tc>
      </w:tr>
      <w:tr w:rsidR="004267A9" w:rsidRPr="00643EF4" w14:paraId="7469F24A" w14:textId="77777777" w:rsidTr="00E0365A">
        <w:trPr>
          <w:trHeight w:val="287"/>
        </w:trPr>
        <w:tc>
          <w:tcPr>
            <w:tcW w:w="3261" w:type="dxa"/>
          </w:tcPr>
          <w:p w14:paraId="34C077C1" w14:textId="77777777" w:rsidR="004267A9" w:rsidRPr="00643EF4" w:rsidRDefault="004267A9" w:rsidP="00E0365A">
            <w:pPr>
              <w:pStyle w:val="BodyRuller"/>
              <w:rPr>
                <w:rFonts w:ascii="David" w:hAnsi="David"/>
                <w:rtl/>
              </w:rPr>
            </w:pPr>
          </w:p>
        </w:tc>
        <w:tc>
          <w:tcPr>
            <w:tcW w:w="5239" w:type="dxa"/>
          </w:tcPr>
          <w:p w14:paraId="56BEE527" w14:textId="77777777" w:rsidR="004267A9" w:rsidRPr="00643EF4" w:rsidRDefault="004267A9" w:rsidP="00E0365A">
            <w:pPr>
              <w:pStyle w:val="BodyRuller"/>
              <w:rPr>
                <w:rtl/>
              </w:rPr>
            </w:pPr>
            <w:r w:rsidRPr="00643EF4">
              <w:rPr>
                <w:rtl/>
              </w:rPr>
              <w:t>13. מועצה כפרית דיר אלחטב</w:t>
            </w:r>
          </w:p>
        </w:tc>
      </w:tr>
      <w:tr w:rsidR="004267A9" w:rsidRPr="00643EF4" w14:paraId="2913E3BF" w14:textId="77777777" w:rsidTr="00E0365A">
        <w:trPr>
          <w:trHeight w:val="287"/>
        </w:trPr>
        <w:tc>
          <w:tcPr>
            <w:tcW w:w="3261" w:type="dxa"/>
          </w:tcPr>
          <w:p w14:paraId="1F80FB05" w14:textId="77777777" w:rsidR="004267A9" w:rsidRPr="00643EF4" w:rsidRDefault="004267A9" w:rsidP="00E0365A">
            <w:pPr>
              <w:pStyle w:val="BodyRuller"/>
              <w:rPr>
                <w:rFonts w:ascii="David" w:hAnsi="David"/>
                <w:rtl/>
              </w:rPr>
            </w:pPr>
          </w:p>
        </w:tc>
        <w:tc>
          <w:tcPr>
            <w:tcW w:w="5239" w:type="dxa"/>
          </w:tcPr>
          <w:p w14:paraId="322AA54A" w14:textId="77777777" w:rsidR="004267A9" w:rsidRPr="00643EF4" w:rsidRDefault="004267A9" w:rsidP="00E0365A">
            <w:pPr>
              <w:pStyle w:val="BodyRuller"/>
              <w:rPr>
                <w:rtl/>
              </w:rPr>
            </w:pPr>
            <w:r w:rsidRPr="00643EF4">
              <w:rPr>
                <w:rtl/>
              </w:rPr>
              <w:t>14. מועצה כפרית אלסאויה</w:t>
            </w:r>
          </w:p>
        </w:tc>
      </w:tr>
      <w:tr w:rsidR="004267A9" w:rsidRPr="00643EF4" w14:paraId="3C70A1B0" w14:textId="77777777" w:rsidTr="00E0365A">
        <w:trPr>
          <w:trHeight w:val="287"/>
        </w:trPr>
        <w:tc>
          <w:tcPr>
            <w:tcW w:w="3261" w:type="dxa"/>
          </w:tcPr>
          <w:p w14:paraId="7B14E462" w14:textId="77777777" w:rsidR="004267A9" w:rsidRPr="00643EF4" w:rsidRDefault="004267A9" w:rsidP="00E0365A">
            <w:pPr>
              <w:pStyle w:val="BodyRuller"/>
              <w:rPr>
                <w:rFonts w:ascii="David" w:hAnsi="David"/>
                <w:rtl/>
              </w:rPr>
            </w:pPr>
          </w:p>
        </w:tc>
        <w:tc>
          <w:tcPr>
            <w:tcW w:w="5239" w:type="dxa"/>
          </w:tcPr>
          <w:p w14:paraId="6B8A872C" w14:textId="77777777" w:rsidR="004267A9" w:rsidRPr="00643EF4" w:rsidRDefault="004267A9" w:rsidP="00E0365A">
            <w:pPr>
              <w:pStyle w:val="BodyRuller"/>
              <w:rPr>
                <w:rtl/>
              </w:rPr>
            </w:pPr>
            <w:r w:rsidRPr="00643EF4">
              <w:rPr>
                <w:rtl/>
              </w:rPr>
              <w:t>15. מועצה כפרית עזמוט</w:t>
            </w:r>
          </w:p>
        </w:tc>
      </w:tr>
      <w:tr w:rsidR="004267A9" w:rsidRPr="00643EF4" w14:paraId="70BE115F" w14:textId="77777777" w:rsidTr="00E0365A">
        <w:trPr>
          <w:trHeight w:val="287"/>
        </w:trPr>
        <w:tc>
          <w:tcPr>
            <w:tcW w:w="3261" w:type="dxa"/>
          </w:tcPr>
          <w:p w14:paraId="47F7BCC5" w14:textId="77777777" w:rsidR="004267A9" w:rsidRPr="00643EF4" w:rsidRDefault="004267A9" w:rsidP="00E0365A">
            <w:pPr>
              <w:pStyle w:val="BodyRuller"/>
              <w:rPr>
                <w:rFonts w:ascii="David" w:hAnsi="David"/>
                <w:rtl/>
              </w:rPr>
            </w:pPr>
          </w:p>
        </w:tc>
        <w:tc>
          <w:tcPr>
            <w:tcW w:w="5239" w:type="dxa"/>
          </w:tcPr>
          <w:p w14:paraId="0611B79F" w14:textId="77777777" w:rsidR="004267A9" w:rsidRPr="00643EF4" w:rsidRDefault="004267A9" w:rsidP="00E0365A">
            <w:pPr>
              <w:pStyle w:val="BodyRuller"/>
              <w:rPr>
                <w:rtl/>
              </w:rPr>
            </w:pPr>
            <w:r w:rsidRPr="00643EF4">
              <w:rPr>
                <w:rtl/>
              </w:rPr>
              <w:t>16. מועצה כפרית אללבן אלשרקיה</w:t>
            </w:r>
          </w:p>
        </w:tc>
      </w:tr>
      <w:tr w:rsidR="004267A9" w:rsidRPr="00643EF4" w14:paraId="4A2137C0" w14:textId="77777777" w:rsidTr="00E0365A">
        <w:trPr>
          <w:trHeight w:val="287"/>
        </w:trPr>
        <w:tc>
          <w:tcPr>
            <w:tcW w:w="3261" w:type="dxa"/>
          </w:tcPr>
          <w:p w14:paraId="46AD55B5" w14:textId="77777777" w:rsidR="004267A9" w:rsidRPr="00643EF4" w:rsidRDefault="004267A9" w:rsidP="00E0365A">
            <w:pPr>
              <w:pStyle w:val="BodyRuller"/>
              <w:rPr>
                <w:rFonts w:ascii="David" w:hAnsi="David"/>
                <w:rtl/>
              </w:rPr>
            </w:pPr>
          </w:p>
        </w:tc>
        <w:tc>
          <w:tcPr>
            <w:tcW w:w="5239" w:type="dxa"/>
          </w:tcPr>
          <w:p w14:paraId="02BDE5B0" w14:textId="77777777" w:rsidR="004267A9" w:rsidRPr="00643EF4" w:rsidRDefault="004267A9" w:rsidP="00E0365A">
            <w:pPr>
              <w:pStyle w:val="BodyRuller"/>
              <w:rPr>
                <w:rtl/>
              </w:rPr>
            </w:pPr>
            <w:r w:rsidRPr="00643EF4">
              <w:rPr>
                <w:rtl/>
              </w:rPr>
              <w:t>17. מועצה כפרית כפר קדום</w:t>
            </w:r>
          </w:p>
        </w:tc>
      </w:tr>
      <w:tr w:rsidR="004267A9" w:rsidRPr="00643EF4" w14:paraId="77B5E7C6" w14:textId="77777777" w:rsidTr="00E0365A">
        <w:trPr>
          <w:trHeight w:val="287"/>
        </w:trPr>
        <w:tc>
          <w:tcPr>
            <w:tcW w:w="3261" w:type="dxa"/>
          </w:tcPr>
          <w:p w14:paraId="77649E09" w14:textId="77777777" w:rsidR="004267A9" w:rsidRPr="00643EF4" w:rsidRDefault="004267A9" w:rsidP="00E0365A">
            <w:pPr>
              <w:pStyle w:val="BodyRuller"/>
              <w:rPr>
                <w:rFonts w:ascii="David" w:hAnsi="David"/>
                <w:rtl/>
              </w:rPr>
            </w:pPr>
          </w:p>
        </w:tc>
        <w:tc>
          <w:tcPr>
            <w:tcW w:w="5239" w:type="dxa"/>
          </w:tcPr>
          <w:p w14:paraId="6A0FB594" w14:textId="13FA8F5D" w:rsidR="004267A9" w:rsidRPr="00643EF4" w:rsidRDefault="004267A9" w:rsidP="000865B2">
            <w:pPr>
              <w:pStyle w:val="BodyRuller"/>
              <w:rPr>
                <w:rtl/>
              </w:rPr>
            </w:pPr>
            <w:r w:rsidRPr="00643EF4">
              <w:rPr>
                <w:rtl/>
              </w:rPr>
              <w:t>18. עדאלה</w:t>
            </w:r>
            <w:r w:rsidR="00127FFC" w:rsidRPr="00643EF4">
              <w:rPr>
                <w:rtl/>
              </w:rPr>
              <w:t xml:space="preserve"> – </w:t>
            </w:r>
            <w:r w:rsidRPr="00643EF4">
              <w:rPr>
                <w:rtl/>
              </w:rPr>
              <w:t>המרכז המשפטי לזכויות המיעוט הערבי בישראל</w:t>
            </w:r>
          </w:p>
        </w:tc>
      </w:tr>
      <w:tr w:rsidR="004267A9" w:rsidRPr="00643EF4" w14:paraId="293C52B9" w14:textId="77777777" w:rsidTr="00E0365A">
        <w:trPr>
          <w:trHeight w:val="287"/>
        </w:trPr>
        <w:tc>
          <w:tcPr>
            <w:tcW w:w="3261" w:type="dxa"/>
          </w:tcPr>
          <w:p w14:paraId="18897E2F" w14:textId="77777777" w:rsidR="004267A9" w:rsidRPr="00643EF4" w:rsidRDefault="004267A9" w:rsidP="00E0365A">
            <w:pPr>
              <w:pStyle w:val="BodyRuller"/>
              <w:rPr>
                <w:rFonts w:ascii="David" w:hAnsi="David"/>
                <w:rtl/>
              </w:rPr>
            </w:pPr>
          </w:p>
        </w:tc>
        <w:tc>
          <w:tcPr>
            <w:tcW w:w="5239" w:type="dxa"/>
          </w:tcPr>
          <w:p w14:paraId="6DBA903C" w14:textId="77777777" w:rsidR="004267A9" w:rsidRPr="00643EF4" w:rsidRDefault="004267A9" w:rsidP="00E0365A">
            <w:pPr>
              <w:pStyle w:val="BodyRuller"/>
              <w:rPr>
                <w:rtl/>
              </w:rPr>
            </w:pPr>
            <w:r w:rsidRPr="00643EF4">
              <w:rPr>
                <w:rtl/>
              </w:rPr>
              <w:t>19. מרכז ירושלים לזכויות אדם</w:t>
            </w:r>
          </w:p>
        </w:tc>
      </w:tr>
      <w:tr w:rsidR="004267A9" w:rsidRPr="00643EF4" w14:paraId="379F5228" w14:textId="77777777" w:rsidTr="00E0365A">
        <w:trPr>
          <w:trHeight w:val="287"/>
        </w:trPr>
        <w:tc>
          <w:tcPr>
            <w:tcW w:w="3261" w:type="dxa"/>
          </w:tcPr>
          <w:p w14:paraId="0A3E3FAE" w14:textId="77777777" w:rsidR="004267A9" w:rsidRPr="00643EF4" w:rsidRDefault="004267A9" w:rsidP="00E0365A">
            <w:pPr>
              <w:pStyle w:val="BodyRuller"/>
              <w:rPr>
                <w:rFonts w:ascii="David" w:hAnsi="David"/>
                <w:rtl/>
              </w:rPr>
            </w:pPr>
          </w:p>
        </w:tc>
        <w:tc>
          <w:tcPr>
            <w:tcW w:w="5239" w:type="dxa"/>
          </w:tcPr>
          <w:p w14:paraId="111D99BB" w14:textId="77777777" w:rsidR="004267A9" w:rsidRPr="00643EF4" w:rsidRDefault="004267A9" w:rsidP="00E0365A">
            <w:pPr>
              <w:pStyle w:val="BodyRuller"/>
              <w:rPr>
                <w:rtl/>
              </w:rPr>
            </w:pPr>
            <w:r w:rsidRPr="00643EF4">
              <w:rPr>
                <w:rtl/>
              </w:rPr>
              <w:t>20. אלמיזאן לזכויות אדם</w:t>
            </w:r>
          </w:p>
        </w:tc>
      </w:tr>
    </w:tbl>
    <w:p w14:paraId="761F9D59" w14:textId="77777777" w:rsidR="00D00CB7" w:rsidRPr="00643EF4" w:rsidRDefault="00D00CB7">
      <w:pPr>
        <w:pStyle w:val="Ruller3"/>
        <w:rPr>
          <w:rtl/>
        </w:rPr>
      </w:pPr>
    </w:p>
    <w:tbl>
      <w:tblPr>
        <w:bidiVisual/>
        <w:tblW w:w="0" w:type="auto"/>
        <w:tblLook w:val="0000" w:firstRow="0" w:lastRow="0" w:firstColumn="0" w:lastColumn="0" w:noHBand="0" w:noVBand="0"/>
      </w:tblPr>
      <w:tblGrid>
        <w:gridCol w:w="3217"/>
        <w:gridCol w:w="5095"/>
      </w:tblGrid>
      <w:tr w:rsidR="005B1E2D" w:rsidRPr="00643EF4" w14:paraId="46FC81BE" w14:textId="77777777" w:rsidTr="005B1E2D">
        <w:tc>
          <w:tcPr>
            <w:tcW w:w="3217" w:type="dxa"/>
          </w:tcPr>
          <w:p w14:paraId="35E450D9" w14:textId="77777777" w:rsidR="005B1E2D" w:rsidRPr="00643EF4" w:rsidRDefault="005B1E2D" w:rsidP="005B1E2D">
            <w:pPr>
              <w:pStyle w:val="BodyRuller"/>
              <w:rPr>
                <w:rFonts w:ascii="David" w:hAnsi="David"/>
              </w:rPr>
            </w:pPr>
            <w:r w:rsidRPr="00643EF4">
              <w:rPr>
                <w:rFonts w:ascii="David" w:hAnsi="David" w:hint="cs"/>
                <w:rtl/>
              </w:rPr>
              <w:t>העותרים בבג"ץ 2055/17:</w:t>
            </w:r>
          </w:p>
        </w:tc>
        <w:tc>
          <w:tcPr>
            <w:tcW w:w="5095" w:type="dxa"/>
          </w:tcPr>
          <w:p w14:paraId="12FE75DE" w14:textId="77777777" w:rsidR="005B1E2D" w:rsidRPr="00643EF4" w:rsidRDefault="005B1E2D" w:rsidP="005B1E2D">
            <w:pPr>
              <w:pStyle w:val="BodyRuller"/>
            </w:pPr>
            <w:r w:rsidRPr="00643EF4">
              <w:rPr>
                <w:rFonts w:hint="cs"/>
                <w:rtl/>
              </w:rPr>
              <w:t xml:space="preserve">1. ראש מועצת הכפר עין יברוד </w:t>
            </w:r>
          </w:p>
        </w:tc>
      </w:tr>
      <w:tr w:rsidR="005B1E2D" w:rsidRPr="00643EF4" w14:paraId="4864A08B" w14:textId="77777777" w:rsidTr="005B1E2D">
        <w:tc>
          <w:tcPr>
            <w:tcW w:w="3217" w:type="dxa"/>
          </w:tcPr>
          <w:p w14:paraId="600A236C" w14:textId="77777777" w:rsidR="005B1E2D" w:rsidRPr="00643EF4" w:rsidRDefault="005B1E2D" w:rsidP="00E0365A">
            <w:pPr>
              <w:pStyle w:val="BodyRuller"/>
              <w:rPr>
                <w:rFonts w:ascii="David" w:hAnsi="David"/>
              </w:rPr>
            </w:pPr>
          </w:p>
        </w:tc>
        <w:tc>
          <w:tcPr>
            <w:tcW w:w="5095" w:type="dxa"/>
          </w:tcPr>
          <w:p w14:paraId="7FFDD86C" w14:textId="77777777" w:rsidR="005B1E2D" w:rsidRPr="00643EF4" w:rsidRDefault="005B1E2D" w:rsidP="005B1E2D">
            <w:pPr>
              <w:pStyle w:val="BodyRuller"/>
            </w:pPr>
            <w:r w:rsidRPr="00643EF4">
              <w:rPr>
                <w:rFonts w:hint="cs"/>
                <w:rtl/>
              </w:rPr>
              <w:t xml:space="preserve">2. ראש מועצת הכפר יאסוף </w:t>
            </w:r>
          </w:p>
        </w:tc>
      </w:tr>
      <w:tr w:rsidR="005B1E2D" w:rsidRPr="00643EF4" w14:paraId="631D9806" w14:textId="77777777" w:rsidTr="005B1E2D">
        <w:tc>
          <w:tcPr>
            <w:tcW w:w="3217" w:type="dxa"/>
          </w:tcPr>
          <w:p w14:paraId="576FD155" w14:textId="77777777" w:rsidR="005B1E2D" w:rsidRPr="00643EF4" w:rsidRDefault="005B1E2D" w:rsidP="00E0365A">
            <w:pPr>
              <w:pStyle w:val="BodyRuller"/>
              <w:rPr>
                <w:rFonts w:ascii="David" w:hAnsi="David"/>
              </w:rPr>
            </w:pPr>
          </w:p>
        </w:tc>
        <w:tc>
          <w:tcPr>
            <w:tcW w:w="5095" w:type="dxa"/>
          </w:tcPr>
          <w:p w14:paraId="77BE85BD" w14:textId="77777777" w:rsidR="005B1E2D" w:rsidRPr="00643EF4" w:rsidRDefault="005B1E2D" w:rsidP="005B1E2D">
            <w:pPr>
              <w:pStyle w:val="BodyRuller"/>
            </w:pPr>
            <w:r w:rsidRPr="00643EF4">
              <w:rPr>
                <w:rFonts w:hint="cs"/>
                <w:rtl/>
              </w:rPr>
              <w:t>3. ראש מועצת הכפר ג'אלוד</w:t>
            </w:r>
          </w:p>
        </w:tc>
      </w:tr>
      <w:tr w:rsidR="005B1E2D" w:rsidRPr="00643EF4" w14:paraId="3E1A00C6" w14:textId="77777777" w:rsidTr="005B1E2D">
        <w:tc>
          <w:tcPr>
            <w:tcW w:w="3217" w:type="dxa"/>
          </w:tcPr>
          <w:p w14:paraId="015DFB78" w14:textId="77777777" w:rsidR="005B1E2D" w:rsidRPr="00643EF4" w:rsidRDefault="005B1E2D" w:rsidP="00E0365A">
            <w:pPr>
              <w:pStyle w:val="BodyRuller"/>
              <w:rPr>
                <w:rFonts w:ascii="David" w:hAnsi="David"/>
              </w:rPr>
            </w:pPr>
          </w:p>
        </w:tc>
        <w:tc>
          <w:tcPr>
            <w:tcW w:w="5095" w:type="dxa"/>
          </w:tcPr>
          <w:p w14:paraId="0D84E38B" w14:textId="77777777" w:rsidR="005B1E2D" w:rsidRPr="00643EF4" w:rsidRDefault="005B1E2D" w:rsidP="005B1E2D">
            <w:pPr>
              <w:pStyle w:val="BodyRuller"/>
            </w:pPr>
            <w:r w:rsidRPr="00643EF4">
              <w:rPr>
                <w:rFonts w:hint="cs"/>
                <w:rtl/>
              </w:rPr>
              <w:t>4. ראש מועצת הכפר אל-מע'ייר</w:t>
            </w:r>
          </w:p>
        </w:tc>
      </w:tr>
      <w:tr w:rsidR="005B1E2D" w:rsidRPr="00643EF4" w14:paraId="1D7B519D" w14:textId="77777777" w:rsidTr="005B1E2D">
        <w:tc>
          <w:tcPr>
            <w:tcW w:w="3217" w:type="dxa"/>
          </w:tcPr>
          <w:p w14:paraId="069C7088" w14:textId="77777777" w:rsidR="005B1E2D" w:rsidRPr="00643EF4" w:rsidRDefault="005B1E2D" w:rsidP="00E0365A">
            <w:pPr>
              <w:pStyle w:val="BodyRuller"/>
              <w:rPr>
                <w:rFonts w:ascii="David" w:hAnsi="David"/>
              </w:rPr>
            </w:pPr>
          </w:p>
        </w:tc>
        <w:tc>
          <w:tcPr>
            <w:tcW w:w="5095" w:type="dxa"/>
          </w:tcPr>
          <w:p w14:paraId="3A95BCDE" w14:textId="77777777" w:rsidR="005B1E2D" w:rsidRPr="00643EF4" w:rsidRDefault="005B1E2D" w:rsidP="005B1E2D">
            <w:pPr>
              <w:pStyle w:val="BodyRuller"/>
            </w:pPr>
            <w:r w:rsidRPr="00643EF4">
              <w:rPr>
                <w:rFonts w:hint="cs"/>
                <w:rtl/>
              </w:rPr>
              <w:t>5. ראש מועצת הכפר תורמוסעיה</w:t>
            </w:r>
          </w:p>
        </w:tc>
      </w:tr>
      <w:tr w:rsidR="005B1E2D" w:rsidRPr="00643EF4" w14:paraId="2ED6F4B9" w14:textId="77777777" w:rsidTr="005B1E2D">
        <w:tc>
          <w:tcPr>
            <w:tcW w:w="3217" w:type="dxa"/>
          </w:tcPr>
          <w:p w14:paraId="1EF6BA05" w14:textId="77777777" w:rsidR="005B1E2D" w:rsidRPr="00643EF4" w:rsidRDefault="005B1E2D" w:rsidP="00E0365A">
            <w:pPr>
              <w:pStyle w:val="BodyRuller"/>
              <w:rPr>
                <w:rFonts w:ascii="David" w:hAnsi="David"/>
              </w:rPr>
            </w:pPr>
          </w:p>
        </w:tc>
        <w:tc>
          <w:tcPr>
            <w:tcW w:w="5095" w:type="dxa"/>
          </w:tcPr>
          <w:p w14:paraId="7A4B1E51" w14:textId="77777777" w:rsidR="005B1E2D" w:rsidRPr="00643EF4" w:rsidRDefault="005B1E2D" w:rsidP="005B1E2D">
            <w:pPr>
              <w:pStyle w:val="BodyRuller"/>
            </w:pPr>
            <w:r w:rsidRPr="00643EF4">
              <w:rPr>
                <w:rFonts w:hint="cs"/>
                <w:rtl/>
              </w:rPr>
              <w:t>6. ראש מועצת הכפר קריות</w:t>
            </w:r>
          </w:p>
        </w:tc>
      </w:tr>
      <w:tr w:rsidR="005B1E2D" w:rsidRPr="00643EF4" w14:paraId="236DCB2D" w14:textId="77777777" w:rsidTr="005B1E2D">
        <w:tc>
          <w:tcPr>
            <w:tcW w:w="3217" w:type="dxa"/>
          </w:tcPr>
          <w:p w14:paraId="07773B3F" w14:textId="77777777" w:rsidR="005B1E2D" w:rsidRPr="00643EF4" w:rsidRDefault="005B1E2D" w:rsidP="00E0365A">
            <w:pPr>
              <w:pStyle w:val="BodyRuller"/>
              <w:rPr>
                <w:rFonts w:ascii="David" w:hAnsi="David"/>
              </w:rPr>
            </w:pPr>
          </w:p>
        </w:tc>
        <w:tc>
          <w:tcPr>
            <w:tcW w:w="5095" w:type="dxa"/>
          </w:tcPr>
          <w:p w14:paraId="042891CB" w14:textId="77777777" w:rsidR="005B1E2D" w:rsidRPr="00643EF4" w:rsidRDefault="005B1E2D" w:rsidP="005B1E2D">
            <w:pPr>
              <w:pStyle w:val="BodyRuller"/>
            </w:pPr>
            <w:r w:rsidRPr="00643EF4">
              <w:rPr>
                <w:rFonts w:hint="cs"/>
                <w:rtl/>
              </w:rPr>
              <w:t>7. ראש מועצת הכפר יתמא</w:t>
            </w:r>
          </w:p>
        </w:tc>
      </w:tr>
      <w:tr w:rsidR="005B1E2D" w:rsidRPr="00643EF4" w14:paraId="1FAD5DE1" w14:textId="77777777" w:rsidTr="005B1E2D">
        <w:tc>
          <w:tcPr>
            <w:tcW w:w="3217" w:type="dxa"/>
          </w:tcPr>
          <w:p w14:paraId="46183A30" w14:textId="77777777" w:rsidR="005B1E2D" w:rsidRPr="00643EF4" w:rsidRDefault="005B1E2D" w:rsidP="00E0365A">
            <w:pPr>
              <w:pStyle w:val="BodyRuller"/>
              <w:rPr>
                <w:rFonts w:ascii="David" w:hAnsi="David"/>
              </w:rPr>
            </w:pPr>
          </w:p>
        </w:tc>
        <w:tc>
          <w:tcPr>
            <w:tcW w:w="5095" w:type="dxa"/>
          </w:tcPr>
          <w:p w14:paraId="2A7D3029" w14:textId="77777777" w:rsidR="005B1E2D" w:rsidRPr="00643EF4" w:rsidRDefault="005B1E2D" w:rsidP="005B1E2D">
            <w:pPr>
              <w:pStyle w:val="BodyRuller"/>
            </w:pPr>
            <w:r w:rsidRPr="00643EF4">
              <w:rPr>
                <w:rFonts w:hint="cs"/>
                <w:rtl/>
              </w:rPr>
              <w:t>8. ראש מועצת הכפר קצרה</w:t>
            </w:r>
          </w:p>
        </w:tc>
      </w:tr>
      <w:tr w:rsidR="005B1E2D" w:rsidRPr="00643EF4" w14:paraId="21F4C7A7" w14:textId="77777777" w:rsidTr="005B1E2D">
        <w:tc>
          <w:tcPr>
            <w:tcW w:w="3217" w:type="dxa"/>
          </w:tcPr>
          <w:p w14:paraId="58F73111" w14:textId="77777777" w:rsidR="005B1E2D" w:rsidRPr="00643EF4" w:rsidRDefault="005B1E2D" w:rsidP="00E0365A">
            <w:pPr>
              <w:pStyle w:val="BodyRuller"/>
              <w:rPr>
                <w:rFonts w:ascii="David" w:hAnsi="David"/>
              </w:rPr>
            </w:pPr>
          </w:p>
        </w:tc>
        <w:tc>
          <w:tcPr>
            <w:tcW w:w="5095" w:type="dxa"/>
          </w:tcPr>
          <w:p w14:paraId="1E223916" w14:textId="77777777" w:rsidR="005B1E2D" w:rsidRPr="00643EF4" w:rsidRDefault="005B1E2D" w:rsidP="005B1E2D">
            <w:pPr>
              <w:pStyle w:val="BodyRuller"/>
            </w:pPr>
            <w:r w:rsidRPr="00643EF4">
              <w:rPr>
                <w:rFonts w:hint="cs"/>
                <w:rtl/>
              </w:rPr>
              <w:t xml:space="preserve">9. ראש מועצת הכפר סינג'יל </w:t>
            </w:r>
          </w:p>
        </w:tc>
      </w:tr>
      <w:tr w:rsidR="005B1E2D" w:rsidRPr="00643EF4" w14:paraId="582AB5DA" w14:textId="77777777" w:rsidTr="005B1E2D">
        <w:tc>
          <w:tcPr>
            <w:tcW w:w="3217" w:type="dxa"/>
          </w:tcPr>
          <w:p w14:paraId="469C1028" w14:textId="77777777" w:rsidR="005B1E2D" w:rsidRPr="00643EF4" w:rsidRDefault="005B1E2D" w:rsidP="00E0365A">
            <w:pPr>
              <w:pStyle w:val="BodyRuller"/>
              <w:rPr>
                <w:rFonts w:ascii="David" w:hAnsi="David"/>
              </w:rPr>
            </w:pPr>
          </w:p>
        </w:tc>
        <w:tc>
          <w:tcPr>
            <w:tcW w:w="5095" w:type="dxa"/>
          </w:tcPr>
          <w:p w14:paraId="6C24BB1A" w14:textId="77777777" w:rsidR="005B1E2D" w:rsidRPr="00643EF4" w:rsidRDefault="005B1E2D" w:rsidP="005B1E2D">
            <w:pPr>
              <w:pStyle w:val="BodyRuller"/>
            </w:pPr>
            <w:r w:rsidRPr="00643EF4">
              <w:rPr>
                <w:rFonts w:hint="cs"/>
                <w:rtl/>
              </w:rPr>
              <w:t>10. ראש מועצת הכפר אל-ח'אדר</w:t>
            </w:r>
          </w:p>
        </w:tc>
      </w:tr>
      <w:tr w:rsidR="005B1E2D" w:rsidRPr="00643EF4" w14:paraId="46724FA8" w14:textId="77777777" w:rsidTr="005B1E2D">
        <w:tc>
          <w:tcPr>
            <w:tcW w:w="3217" w:type="dxa"/>
          </w:tcPr>
          <w:p w14:paraId="798F4B20" w14:textId="77777777" w:rsidR="005B1E2D" w:rsidRPr="00643EF4" w:rsidRDefault="005B1E2D" w:rsidP="00E0365A">
            <w:pPr>
              <w:pStyle w:val="BodyRuller"/>
              <w:rPr>
                <w:rFonts w:ascii="David" w:hAnsi="David"/>
              </w:rPr>
            </w:pPr>
          </w:p>
        </w:tc>
        <w:tc>
          <w:tcPr>
            <w:tcW w:w="5095" w:type="dxa"/>
          </w:tcPr>
          <w:p w14:paraId="09421027" w14:textId="77777777" w:rsidR="005B1E2D" w:rsidRPr="00643EF4" w:rsidRDefault="005B1E2D" w:rsidP="005B1E2D">
            <w:pPr>
              <w:pStyle w:val="BodyRuller"/>
            </w:pPr>
            <w:r w:rsidRPr="00643EF4">
              <w:rPr>
                <w:rFonts w:hint="cs"/>
                <w:rtl/>
              </w:rPr>
              <w:t xml:space="preserve">11. ראש מועצת הכפר דיר דיבוואן </w:t>
            </w:r>
          </w:p>
        </w:tc>
      </w:tr>
      <w:tr w:rsidR="005B1E2D" w:rsidRPr="00643EF4" w14:paraId="434ECD61" w14:textId="77777777" w:rsidTr="005B1E2D">
        <w:tc>
          <w:tcPr>
            <w:tcW w:w="3217" w:type="dxa"/>
          </w:tcPr>
          <w:p w14:paraId="2A66AF4F" w14:textId="77777777" w:rsidR="005B1E2D" w:rsidRPr="00643EF4" w:rsidRDefault="005B1E2D" w:rsidP="00E0365A">
            <w:pPr>
              <w:pStyle w:val="BodyRuller"/>
              <w:rPr>
                <w:rFonts w:ascii="David" w:hAnsi="David"/>
              </w:rPr>
            </w:pPr>
          </w:p>
        </w:tc>
        <w:tc>
          <w:tcPr>
            <w:tcW w:w="5095" w:type="dxa"/>
          </w:tcPr>
          <w:p w14:paraId="406023EB" w14:textId="77777777" w:rsidR="005B1E2D" w:rsidRPr="00643EF4" w:rsidRDefault="005B1E2D" w:rsidP="005B1E2D">
            <w:pPr>
              <w:pStyle w:val="BodyRuller"/>
            </w:pPr>
            <w:r w:rsidRPr="00643EF4">
              <w:rPr>
                <w:rFonts w:hint="cs"/>
                <w:rtl/>
              </w:rPr>
              <w:t>12. ראש מועצת הכפר מחמאס</w:t>
            </w:r>
          </w:p>
        </w:tc>
      </w:tr>
      <w:tr w:rsidR="005B1E2D" w:rsidRPr="00643EF4" w14:paraId="2334F2A6" w14:textId="77777777" w:rsidTr="005B1E2D">
        <w:tc>
          <w:tcPr>
            <w:tcW w:w="3217" w:type="dxa"/>
          </w:tcPr>
          <w:p w14:paraId="4129E85E" w14:textId="77777777" w:rsidR="005B1E2D" w:rsidRPr="00643EF4" w:rsidRDefault="005B1E2D" w:rsidP="00E0365A">
            <w:pPr>
              <w:pStyle w:val="BodyRuller"/>
              <w:rPr>
                <w:rFonts w:ascii="David" w:hAnsi="David"/>
              </w:rPr>
            </w:pPr>
          </w:p>
        </w:tc>
        <w:tc>
          <w:tcPr>
            <w:tcW w:w="5095" w:type="dxa"/>
          </w:tcPr>
          <w:p w14:paraId="7FC427B9" w14:textId="77777777" w:rsidR="005B1E2D" w:rsidRPr="00643EF4" w:rsidRDefault="005B1E2D" w:rsidP="005B1E2D">
            <w:pPr>
              <w:pStyle w:val="BodyRuller"/>
            </w:pPr>
            <w:r w:rsidRPr="00643EF4">
              <w:rPr>
                <w:rFonts w:hint="cs"/>
                <w:rtl/>
              </w:rPr>
              <w:t>13. ראש מועצת הכפר דיר ג'ריר</w:t>
            </w:r>
          </w:p>
        </w:tc>
      </w:tr>
      <w:tr w:rsidR="005B1E2D" w:rsidRPr="00643EF4" w14:paraId="681CAA11" w14:textId="77777777" w:rsidTr="005B1E2D">
        <w:tc>
          <w:tcPr>
            <w:tcW w:w="3217" w:type="dxa"/>
          </w:tcPr>
          <w:p w14:paraId="414D8952" w14:textId="77777777" w:rsidR="005B1E2D" w:rsidRPr="00643EF4" w:rsidRDefault="005B1E2D" w:rsidP="00E0365A">
            <w:pPr>
              <w:pStyle w:val="BodyRuller"/>
              <w:rPr>
                <w:rFonts w:ascii="David" w:hAnsi="David"/>
              </w:rPr>
            </w:pPr>
          </w:p>
        </w:tc>
        <w:tc>
          <w:tcPr>
            <w:tcW w:w="5095" w:type="dxa"/>
          </w:tcPr>
          <w:p w14:paraId="5699DF69" w14:textId="77777777" w:rsidR="005B1E2D" w:rsidRPr="00643EF4" w:rsidRDefault="005B1E2D" w:rsidP="005B1E2D">
            <w:pPr>
              <w:pStyle w:val="BodyRuller"/>
            </w:pPr>
            <w:r w:rsidRPr="00643EF4">
              <w:rPr>
                <w:rFonts w:hint="cs"/>
                <w:rtl/>
              </w:rPr>
              <w:t>14. ראש מועצת כפר מאלכ</w:t>
            </w:r>
          </w:p>
        </w:tc>
      </w:tr>
      <w:tr w:rsidR="005B1E2D" w:rsidRPr="00643EF4" w14:paraId="0DEC86C2" w14:textId="77777777" w:rsidTr="005B1E2D">
        <w:tc>
          <w:tcPr>
            <w:tcW w:w="3217" w:type="dxa"/>
          </w:tcPr>
          <w:p w14:paraId="2EB52FBC" w14:textId="77777777" w:rsidR="005B1E2D" w:rsidRPr="00643EF4" w:rsidRDefault="005B1E2D" w:rsidP="00E0365A">
            <w:pPr>
              <w:pStyle w:val="BodyRuller"/>
              <w:rPr>
                <w:rFonts w:ascii="David" w:hAnsi="David"/>
              </w:rPr>
            </w:pPr>
          </w:p>
        </w:tc>
        <w:tc>
          <w:tcPr>
            <w:tcW w:w="5095" w:type="dxa"/>
          </w:tcPr>
          <w:p w14:paraId="77F505CD" w14:textId="77777777" w:rsidR="005B1E2D" w:rsidRPr="00643EF4" w:rsidRDefault="005B1E2D" w:rsidP="005B1E2D">
            <w:pPr>
              <w:pStyle w:val="BodyRuller"/>
            </w:pPr>
            <w:r w:rsidRPr="00643EF4">
              <w:rPr>
                <w:rFonts w:hint="cs"/>
                <w:rtl/>
              </w:rPr>
              <w:t>15. ראש מועצת כפר עקב</w:t>
            </w:r>
          </w:p>
        </w:tc>
      </w:tr>
      <w:tr w:rsidR="005B1E2D" w:rsidRPr="00643EF4" w14:paraId="7C51DC11" w14:textId="77777777" w:rsidTr="005B1E2D">
        <w:tc>
          <w:tcPr>
            <w:tcW w:w="3217" w:type="dxa"/>
          </w:tcPr>
          <w:p w14:paraId="45FA6890" w14:textId="77777777" w:rsidR="005B1E2D" w:rsidRPr="00643EF4" w:rsidRDefault="005B1E2D" w:rsidP="00E0365A">
            <w:pPr>
              <w:pStyle w:val="BodyRuller"/>
              <w:rPr>
                <w:rFonts w:ascii="David" w:hAnsi="David"/>
              </w:rPr>
            </w:pPr>
          </w:p>
        </w:tc>
        <w:tc>
          <w:tcPr>
            <w:tcW w:w="5095" w:type="dxa"/>
          </w:tcPr>
          <w:p w14:paraId="328A3CF9" w14:textId="77777777" w:rsidR="005B1E2D" w:rsidRPr="00643EF4" w:rsidRDefault="005B1E2D" w:rsidP="005B1E2D">
            <w:pPr>
              <w:pStyle w:val="BodyRuller"/>
            </w:pPr>
            <w:r w:rsidRPr="00643EF4">
              <w:rPr>
                <w:rFonts w:hint="cs"/>
                <w:rtl/>
              </w:rPr>
              <w:t>16. ראש מועצת הכפר דורא אל קרע</w:t>
            </w:r>
          </w:p>
        </w:tc>
      </w:tr>
      <w:tr w:rsidR="005B1E2D" w:rsidRPr="00643EF4" w14:paraId="5A80C431" w14:textId="77777777" w:rsidTr="005B1E2D">
        <w:tc>
          <w:tcPr>
            <w:tcW w:w="3217" w:type="dxa"/>
          </w:tcPr>
          <w:p w14:paraId="6B74808B" w14:textId="77777777" w:rsidR="005B1E2D" w:rsidRPr="00643EF4" w:rsidRDefault="005B1E2D" w:rsidP="00E0365A">
            <w:pPr>
              <w:pStyle w:val="BodyRuller"/>
              <w:rPr>
                <w:rFonts w:ascii="David" w:hAnsi="David"/>
              </w:rPr>
            </w:pPr>
          </w:p>
        </w:tc>
        <w:tc>
          <w:tcPr>
            <w:tcW w:w="5095" w:type="dxa"/>
          </w:tcPr>
          <w:p w14:paraId="6F7444D0" w14:textId="77777777" w:rsidR="005B1E2D" w:rsidRPr="00643EF4" w:rsidRDefault="005B1E2D" w:rsidP="005B1E2D">
            <w:pPr>
              <w:pStyle w:val="BodyRuller"/>
            </w:pPr>
            <w:r w:rsidRPr="00643EF4">
              <w:rPr>
                <w:rFonts w:hint="cs"/>
                <w:rtl/>
              </w:rPr>
              <w:t>17. ראש מועצת הכפר אלבירה</w:t>
            </w:r>
          </w:p>
        </w:tc>
      </w:tr>
      <w:tr w:rsidR="005B1E2D" w:rsidRPr="00643EF4" w14:paraId="18A1D9B4" w14:textId="77777777" w:rsidTr="005B1E2D">
        <w:tc>
          <w:tcPr>
            <w:tcW w:w="3217" w:type="dxa"/>
          </w:tcPr>
          <w:p w14:paraId="18F3638B" w14:textId="77777777" w:rsidR="005B1E2D" w:rsidRPr="00643EF4" w:rsidRDefault="005B1E2D" w:rsidP="00E0365A">
            <w:pPr>
              <w:pStyle w:val="BodyRuller"/>
              <w:rPr>
                <w:rFonts w:ascii="David" w:hAnsi="David"/>
              </w:rPr>
            </w:pPr>
          </w:p>
        </w:tc>
        <w:tc>
          <w:tcPr>
            <w:tcW w:w="5095" w:type="dxa"/>
          </w:tcPr>
          <w:p w14:paraId="4C3E99DF" w14:textId="77777777" w:rsidR="005B1E2D" w:rsidRPr="00643EF4" w:rsidRDefault="005B1E2D" w:rsidP="005B1E2D">
            <w:pPr>
              <w:pStyle w:val="BodyRuller"/>
            </w:pPr>
            <w:r w:rsidRPr="00643EF4">
              <w:rPr>
                <w:rFonts w:hint="cs"/>
                <w:rtl/>
              </w:rPr>
              <w:t>18. ראש מועצת הכפר ענאתא</w:t>
            </w:r>
          </w:p>
        </w:tc>
      </w:tr>
      <w:tr w:rsidR="005B1E2D" w:rsidRPr="00643EF4" w14:paraId="039E2C75" w14:textId="77777777" w:rsidTr="005B1E2D">
        <w:tc>
          <w:tcPr>
            <w:tcW w:w="3217" w:type="dxa"/>
          </w:tcPr>
          <w:p w14:paraId="14299221" w14:textId="77777777" w:rsidR="005B1E2D" w:rsidRPr="00643EF4" w:rsidRDefault="005B1E2D" w:rsidP="00E0365A">
            <w:pPr>
              <w:pStyle w:val="BodyRuller"/>
              <w:rPr>
                <w:rFonts w:ascii="David" w:hAnsi="David"/>
              </w:rPr>
            </w:pPr>
          </w:p>
        </w:tc>
        <w:tc>
          <w:tcPr>
            <w:tcW w:w="5095" w:type="dxa"/>
          </w:tcPr>
          <w:p w14:paraId="19D7B742" w14:textId="77777777" w:rsidR="005B1E2D" w:rsidRPr="00643EF4" w:rsidRDefault="005B1E2D" w:rsidP="005B1E2D">
            <w:pPr>
              <w:pStyle w:val="BodyRuller"/>
            </w:pPr>
            <w:r w:rsidRPr="00643EF4">
              <w:rPr>
                <w:rFonts w:hint="cs"/>
                <w:rtl/>
              </w:rPr>
              <w:t>19. ראש מועצת הכפרים אמאתין-פרעתא</w:t>
            </w:r>
          </w:p>
        </w:tc>
      </w:tr>
      <w:tr w:rsidR="005B1E2D" w:rsidRPr="00643EF4" w14:paraId="04BAEE3B" w14:textId="77777777" w:rsidTr="005B1E2D">
        <w:tc>
          <w:tcPr>
            <w:tcW w:w="3217" w:type="dxa"/>
          </w:tcPr>
          <w:p w14:paraId="661C30EF" w14:textId="77777777" w:rsidR="005B1E2D" w:rsidRPr="00643EF4" w:rsidRDefault="005B1E2D" w:rsidP="00E0365A">
            <w:pPr>
              <w:pStyle w:val="BodyRuller"/>
              <w:rPr>
                <w:rFonts w:ascii="David" w:hAnsi="David"/>
              </w:rPr>
            </w:pPr>
          </w:p>
        </w:tc>
        <w:tc>
          <w:tcPr>
            <w:tcW w:w="5095" w:type="dxa"/>
          </w:tcPr>
          <w:p w14:paraId="628E3603" w14:textId="77777777" w:rsidR="005B1E2D" w:rsidRPr="00643EF4" w:rsidRDefault="005B1E2D" w:rsidP="005B1E2D">
            <w:pPr>
              <w:pStyle w:val="BodyRuller"/>
            </w:pPr>
            <w:r w:rsidRPr="00643EF4">
              <w:rPr>
                <w:rFonts w:hint="cs"/>
                <w:rtl/>
              </w:rPr>
              <w:t>20. ראש מועצת הכפר ג'ית</w:t>
            </w:r>
          </w:p>
        </w:tc>
      </w:tr>
      <w:tr w:rsidR="005B1E2D" w:rsidRPr="00643EF4" w14:paraId="50A58B2B" w14:textId="77777777" w:rsidTr="005B1E2D">
        <w:tc>
          <w:tcPr>
            <w:tcW w:w="3217" w:type="dxa"/>
          </w:tcPr>
          <w:p w14:paraId="1251F872" w14:textId="77777777" w:rsidR="005B1E2D" w:rsidRPr="00643EF4" w:rsidRDefault="005B1E2D" w:rsidP="00E0365A">
            <w:pPr>
              <w:pStyle w:val="BodyRuller"/>
              <w:rPr>
                <w:rFonts w:ascii="David" w:hAnsi="David"/>
              </w:rPr>
            </w:pPr>
          </w:p>
        </w:tc>
        <w:tc>
          <w:tcPr>
            <w:tcW w:w="5095" w:type="dxa"/>
          </w:tcPr>
          <w:p w14:paraId="6DB4EAED" w14:textId="77777777" w:rsidR="005B1E2D" w:rsidRPr="00643EF4" w:rsidRDefault="005B1E2D" w:rsidP="005B1E2D">
            <w:pPr>
              <w:pStyle w:val="BodyRuller"/>
            </w:pPr>
            <w:r w:rsidRPr="00643EF4">
              <w:rPr>
                <w:rFonts w:hint="cs"/>
                <w:rtl/>
              </w:rPr>
              <w:t>21. ראש מועצת הכפר ארטאס</w:t>
            </w:r>
          </w:p>
        </w:tc>
      </w:tr>
      <w:tr w:rsidR="005B1E2D" w:rsidRPr="00643EF4" w14:paraId="5E2C606F" w14:textId="77777777" w:rsidTr="005B1E2D">
        <w:tc>
          <w:tcPr>
            <w:tcW w:w="3217" w:type="dxa"/>
          </w:tcPr>
          <w:p w14:paraId="79D8E13C" w14:textId="77777777" w:rsidR="005B1E2D" w:rsidRPr="00643EF4" w:rsidRDefault="005B1E2D" w:rsidP="00E0365A">
            <w:pPr>
              <w:pStyle w:val="BodyRuller"/>
              <w:rPr>
                <w:rFonts w:ascii="David" w:hAnsi="David"/>
              </w:rPr>
            </w:pPr>
          </w:p>
        </w:tc>
        <w:tc>
          <w:tcPr>
            <w:tcW w:w="5095" w:type="dxa"/>
          </w:tcPr>
          <w:p w14:paraId="1045BB3A" w14:textId="77777777" w:rsidR="005B1E2D" w:rsidRPr="00643EF4" w:rsidRDefault="005B1E2D" w:rsidP="005B1E2D">
            <w:pPr>
              <w:pStyle w:val="BodyRuller"/>
            </w:pPr>
            <w:r w:rsidRPr="00643EF4">
              <w:rPr>
                <w:rFonts w:hint="cs"/>
                <w:rtl/>
              </w:rPr>
              <w:t>22. ראש מועצת הכפר זעתרה</w:t>
            </w:r>
          </w:p>
        </w:tc>
      </w:tr>
      <w:tr w:rsidR="005B1E2D" w:rsidRPr="00643EF4" w14:paraId="71FA2035" w14:textId="77777777" w:rsidTr="005B1E2D">
        <w:tc>
          <w:tcPr>
            <w:tcW w:w="3217" w:type="dxa"/>
          </w:tcPr>
          <w:p w14:paraId="677C5D49" w14:textId="77777777" w:rsidR="005B1E2D" w:rsidRPr="00643EF4" w:rsidRDefault="005B1E2D" w:rsidP="00E0365A">
            <w:pPr>
              <w:pStyle w:val="BodyRuller"/>
              <w:rPr>
                <w:rFonts w:ascii="David" w:hAnsi="David"/>
              </w:rPr>
            </w:pPr>
          </w:p>
        </w:tc>
        <w:tc>
          <w:tcPr>
            <w:tcW w:w="5095" w:type="dxa"/>
          </w:tcPr>
          <w:p w14:paraId="2913A6FE" w14:textId="77777777" w:rsidR="005B1E2D" w:rsidRPr="00643EF4" w:rsidRDefault="005B1E2D" w:rsidP="005B1E2D">
            <w:pPr>
              <w:pStyle w:val="BodyRuller"/>
            </w:pPr>
            <w:r w:rsidRPr="00643EF4">
              <w:rPr>
                <w:rFonts w:hint="cs"/>
                <w:rtl/>
              </w:rPr>
              <w:t>23. עלי מוחמד עיסא מוסא</w:t>
            </w:r>
          </w:p>
        </w:tc>
      </w:tr>
      <w:tr w:rsidR="005B1E2D" w:rsidRPr="00643EF4" w14:paraId="0BB8EB5C" w14:textId="77777777" w:rsidTr="005B1E2D">
        <w:tc>
          <w:tcPr>
            <w:tcW w:w="3217" w:type="dxa"/>
          </w:tcPr>
          <w:p w14:paraId="23B28B77" w14:textId="77777777" w:rsidR="005B1E2D" w:rsidRPr="00643EF4" w:rsidRDefault="005B1E2D" w:rsidP="00E0365A">
            <w:pPr>
              <w:pStyle w:val="BodyRuller"/>
              <w:rPr>
                <w:rFonts w:ascii="David" w:hAnsi="David"/>
              </w:rPr>
            </w:pPr>
          </w:p>
        </w:tc>
        <w:tc>
          <w:tcPr>
            <w:tcW w:w="5095" w:type="dxa"/>
          </w:tcPr>
          <w:p w14:paraId="139D119A" w14:textId="77777777" w:rsidR="005B1E2D" w:rsidRPr="00643EF4" w:rsidRDefault="005B1E2D" w:rsidP="005B1E2D">
            <w:pPr>
              <w:pStyle w:val="BodyRuller"/>
            </w:pPr>
            <w:r w:rsidRPr="00643EF4">
              <w:rPr>
                <w:rFonts w:hint="cs"/>
                <w:rtl/>
              </w:rPr>
              <w:t>24. מרים אסמאעיל עלי מוסא</w:t>
            </w:r>
          </w:p>
        </w:tc>
      </w:tr>
      <w:tr w:rsidR="005B1E2D" w:rsidRPr="00643EF4" w14:paraId="05B0792E" w14:textId="77777777" w:rsidTr="005B1E2D">
        <w:tc>
          <w:tcPr>
            <w:tcW w:w="3217" w:type="dxa"/>
          </w:tcPr>
          <w:p w14:paraId="5029D48E" w14:textId="77777777" w:rsidR="005B1E2D" w:rsidRPr="00643EF4" w:rsidRDefault="005B1E2D" w:rsidP="00E0365A">
            <w:pPr>
              <w:pStyle w:val="BodyRuller"/>
              <w:rPr>
                <w:rFonts w:ascii="David" w:hAnsi="David"/>
              </w:rPr>
            </w:pPr>
          </w:p>
        </w:tc>
        <w:tc>
          <w:tcPr>
            <w:tcW w:w="5095" w:type="dxa"/>
          </w:tcPr>
          <w:p w14:paraId="6FCC24E6" w14:textId="77777777" w:rsidR="005B1E2D" w:rsidRPr="00643EF4" w:rsidRDefault="005B1E2D" w:rsidP="005B1E2D">
            <w:pPr>
              <w:pStyle w:val="BodyRuller"/>
            </w:pPr>
            <w:r w:rsidRPr="00643EF4">
              <w:rPr>
                <w:rFonts w:hint="cs"/>
                <w:rtl/>
              </w:rPr>
              <w:t>25. סוהייר אסמעיל עלי פרג'</w:t>
            </w:r>
          </w:p>
        </w:tc>
      </w:tr>
      <w:tr w:rsidR="005B1E2D" w:rsidRPr="00643EF4" w14:paraId="650E3DFE" w14:textId="77777777" w:rsidTr="005B1E2D">
        <w:tc>
          <w:tcPr>
            <w:tcW w:w="3217" w:type="dxa"/>
          </w:tcPr>
          <w:p w14:paraId="5E25834B" w14:textId="77777777" w:rsidR="005B1E2D" w:rsidRPr="00643EF4" w:rsidRDefault="005B1E2D" w:rsidP="00E0365A">
            <w:pPr>
              <w:pStyle w:val="BodyRuller"/>
              <w:rPr>
                <w:rFonts w:ascii="David" w:hAnsi="David"/>
              </w:rPr>
            </w:pPr>
          </w:p>
        </w:tc>
        <w:tc>
          <w:tcPr>
            <w:tcW w:w="5095" w:type="dxa"/>
          </w:tcPr>
          <w:p w14:paraId="602ACD2E" w14:textId="77777777" w:rsidR="005B1E2D" w:rsidRPr="00643EF4" w:rsidRDefault="005B1E2D" w:rsidP="005B1E2D">
            <w:pPr>
              <w:pStyle w:val="BodyRuller"/>
            </w:pPr>
            <w:r w:rsidRPr="00643EF4">
              <w:rPr>
                <w:rFonts w:hint="cs"/>
                <w:rtl/>
              </w:rPr>
              <w:t>26. מוניר חוסיין חסן מוסא</w:t>
            </w:r>
          </w:p>
        </w:tc>
      </w:tr>
      <w:tr w:rsidR="005B1E2D" w:rsidRPr="00643EF4" w14:paraId="6BB46ADD" w14:textId="77777777" w:rsidTr="005B1E2D">
        <w:tc>
          <w:tcPr>
            <w:tcW w:w="3217" w:type="dxa"/>
          </w:tcPr>
          <w:p w14:paraId="6E6D22C5" w14:textId="77777777" w:rsidR="005B1E2D" w:rsidRPr="00643EF4" w:rsidRDefault="005B1E2D" w:rsidP="00E0365A">
            <w:pPr>
              <w:pStyle w:val="BodyRuller"/>
              <w:rPr>
                <w:rFonts w:ascii="David" w:hAnsi="David"/>
              </w:rPr>
            </w:pPr>
          </w:p>
        </w:tc>
        <w:tc>
          <w:tcPr>
            <w:tcW w:w="5095" w:type="dxa"/>
          </w:tcPr>
          <w:p w14:paraId="6BDBD62D" w14:textId="77777777" w:rsidR="005B1E2D" w:rsidRPr="00643EF4" w:rsidRDefault="005B1E2D" w:rsidP="005B1E2D">
            <w:pPr>
              <w:pStyle w:val="BodyRuller"/>
            </w:pPr>
            <w:r w:rsidRPr="00643EF4">
              <w:rPr>
                <w:rFonts w:hint="cs"/>
                <w:rtl/>
              </w:rPr>
              <w:t>27. מחמוד אחמד מחמד חזמה</w:t>
            </w:r>
          </w:p>
        </w:tc>
      </w:tr>
      <w:tr w:rsidR="005B1E2D" w:rsidRPr="00643EF4" w14:paraId="1A282C44" w14:textId="77777777" w:rsidTr="005B1E2D">
        <w:tc>
          <w:tcPr>
            <w:tcW w:w="3217" w:type="dxa"/>
          </w:tcPr>
          <w:p w14:paraId="03749D7F" w14:textId="77777777" w:rsidR="005B1E2D" w:rsidRPr="00643EF4" w:rsidRDefault="005B1E2D" w:rsidP="00E0365A">
            <w:pPr>
              <w:pStyle w:val="BodyRuller"/>
              <w:rPr>
                <w:rFonts w:ascii="David" w:hAnsi="David"/>
              </w:rPr>
            </w:pPr>
          </w:p>
        </w:tc>
        <w:tc>
          <w:tcPr>
            <w:tcW w:w="5095" w:type="dxa"/>
          </w:tcPr>
          <w:p w14:paraId="2BCAB255" w14:textId="42B6ABDC" w:rsidR="005B1E2D" w:rsidRPr="00643EF4" w:rsidRDefault="005B1E2D" w:rsidP="000865B2">
            <w:pPr>
              <w:pStyle w:val="BodyRuller"/>
            </w:pPr>
            <w:r w:rsidRPr="00643EF4">
              <w:rPr>
                <w:rFonts w:hint="cs"/>
                <w:rtl/>
              </w:rPr>
              <w:t>28. יש דין</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ארגון מתנדבים לזכויות אדם</w:t>
            </w:r>
          </w:p>
        </w:tc>
      </w:tr>
      <w:tr w:rsidR="005B1E2D" w:rsidRPr="00643EF4" w14:paraId="3ECCB7D7" w14:textId="77777777" w:rsidTr="005B1E2D">
        <w:tc>
          <w:tcPr>
            <w:tcW w:w="3217" w:type="dxa"/>
          </w:tcPr>
          <w:p w14:paraId="1236E7D3" w14:textId="77777777" w:rsidR="005B1E2D" w:rsidRPr="00643EF4" w:rsidRDefault="005B1E2D" w:rsidP="00E0365A">
            <w:pPr>
              <w:pStyle w:val="BodyRuller"/>
              <w:rPr>
                <w:rFonts w:ascii="David" w:hAnsi="David"/>
              </w:rPr>
            </w:pPr>
          </w:p>
        </w:tc>
        <w:tc>
          <w:tcPr>
            <w:tcW w:w="5095" w:type="dxa"/>
          </w:tcPr>
          <w:p w14:paraId="5F684931" w14:textId="77777777" w:rsidR="005B1E2D" w:rsidRPr="00643EF4" w:rsidRDefault="005B1E2D" w:rsidP="005B1E2D">
            <w:pPr>
              <w:pStyle w:val="BodyRuller"/>
            </w:pPr>
            <w:r w:rsidRPr="00643EF4">
              <w:rPr>
                <w:rFonts w:hint="cs"/>
                <w:rtl/>
              </w:rPr>
              <w:t>29. האגודה לזכויות האזרח בישראל</w:t>
            </w:r>
          </w:p>
        </w:tc>
      </w:tr>
      <w:tr w:rsidR="005B1E2D" w:rsidRPr="00643EF4" w14:paraId="6CCDF00C" w14:textId="77777777" w:rsidTr="005B1E2D">
        <w:tc>
          <w:tcPr>
            <w:tcW w:w="3217" w:type="dxa"/>
          </w:tcPr>
          <w:p w14:paraId="4EB5812E" w14:textId="77777777" w:rsidR="005B1E2D" w:rsidRPr="00643EF4" w:rsidRDefault="005B1E2D" w:rsidP="00E0365A">
            <w:pPr>
              <w:pStyle w:val="BodyRuller"/>
              <w:rPr>
                <w:rFonts w:ascii="David" w:hAnsi="David"/>
              </w:rPr>
            </w:pPr>
          </w:p>
        </w:tc>
        <w:tc>
          <w:tcPr>
            <w:tcW w:w="5095" w:type="dxa"/>
          </w:tcPr>
          <w:p w14:paraId="2429A5E4" w14:textId="196C46EE" w:rsidR="005B1E2D" w:rsidRPr="00643EF4" w:rsidRDefault="005B1E2D" w:rsidP="000865B2">
            <w:pPr>
              <w:pStyle w:val="BodyRuller"/>
            </w:pPr>
            <w:r w:rsidRPr="00643EF4">
              <w:rPr>
                <w:rFonts w:hint="cs"/>
                <w:rtl/>
              </w:rPr>
              <w:t>30. ש.ע.ל.</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שלום עכשיו לישראל מפעלים חינוכיים</w:t>
            </w:r>
          </w:p>
        </w:tc>
      </w:tr>
      <w:tr w:rsidR="005B1E2D" w:rsidRPr="00643EF4" w14:paraId="66B9009A" w14:textId="77777777" w:rsidTr="005B1E2D">
        <w:tc>
          <w:tcPr>
            <w:tcW w:w="3217" w:type="dxa"/>
          </w:tcPr>
          <w:p w14:paraId="337EDC7E" w14:textId="77777777" w:rsidR="005B1E2D" w:rsidRPr="00643EF4" w:rsidRDefault="005B1E2D" w:rsidP="00E0365A">
            <w:pPr>
              <w:pStyle w:val="BodyRuller"/>
              <w:rPr>
                <w:rFonts w:ascii="David" w:hAnsi="David"/>
              </w:rPr>
            </w:pPr>
          </w:p>
        </w:tc>
        <w:tc>
          <w:tcPr>
            <w:tcW w:w="5095" w:type="dxa"/>
          </w:tcPr>
          <w:p w14:paraId="24DDA96A" w14:textId="4B01F3AF" w:rsidR="005B1E2D" w:rsidRPr="00643EF4" w:rsidRDefault="005B1E2D" w:rsidP="000865B2">
            <w:pPr>
              <w:pStyle w:val="BodyRuller"/>
            </w:pPr>
            <w:r w:rsidRPr="00643EF4">
              <w:rPr>
                <w:rFonts w:hint="cs"/>
                <w:rtl/>
              </w:rPr>
              <w:t>31. במקום</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מתכננים למען זכויות אדם בתכנון</w:t>
            </w:r>
          </w:p>
        </w:tc>
      </w:tr>
      <w:tr w:rsidR="005B1E2D" w:rsidRPr="00643EF4" w14:paraId="00EE81BC" w14:textId="77777777" w:rsidTr="005B1E2D">
        <w:tc>
          <w:tcPr>
            <w:tcW w:w="3217" w:type="dxa"/>
          </w:tcPr>
          <w:p w14:paraId="6258FD84" w14:textId="77777777" w:rsidR="005B1E2D" w:rsidRPr="00643EF4" w:rsidRDefault="005B1E2D" w:rsidP="00E0365A">
            <w:pPr>
              <w:pStyle w:val="BodyRuller"/>
              <w:rPr>
                <w:rFonts w:ascii="David" w:hAnsi="David"/>
              </w:rPr>
            </w:pPr>
          </w:p>
        </w:tc>
        <w:tc>
          <w:tcPr>
            <w:tcW w:w="5095" w:type="dxa"/>
          </w:tcPr>
          <w:p w14:paraId="0B02AE89" w14:textId="77777777" w:rsidR="005B1E2D" w:rsidRPr="00643EF4" w:rsidRDefault="005B1E2D" w:rsidP="005B1E2D">
            <w:pPr>
              <w:pStyle w:val="BodyRuller"/>
            </w:pPr>
            <w:r w:rsidRPr="00643EF4">
              <w:rPr>
                <w:rFonts w:hint="cs"/>
                <w:rtl/>
              </w:rPr>
              <w:t>32. המוקד להגנת הפרט מיסודה של ד"ר לוטה זלצברגר</w:t>
            </w:r>
          </w:p>
        </w:tc>
      </w:tr>
      <w:tr w:rsidR="005B1E2D" w:rsidRPr="00643EF4" w14:paraId="43D0A1E7" w14:textId="77777777" w:rsidTr="005B1E2D">
        <w:tc>
          <w:tcPr>
            <w:tcW w:w="3217" w:type="dxa"/>
          </w:tcPr>
          <w:p w14:paraId="58F3B31B" w14:textId="77777777" w:rsidR="005B1E2D" w:rsidRPr="00643EF4" w:rsidRDefault="005B1E2D" w:rsidP="00E0365A">
            <w:pPr>
              <w:pStyle w:val="BodyRuller"/>
              <w:rPr>
                <w:rFonts w:ascii="David" w:hAnsi="David"/>
              </w:rPr>
            </w:pPr>
          </w:p>
        </w:tc>
        <w:tc>
          <w:tcPr>
            <w:tcW w:w="5095" w:type="dxa"/>
          </w:tcPr>
          <w:p w14:paraId="182AFA4A" w14:textId="77777777" w:rsidR="005B1E2D" w:rsidRPr="00643EF4" w:rsidRDefault="005B1E2D" w:rsidP="005B1E2D">
            <w:pPr>
              <w:pStyle w:val="BodyRuller"/>
            </w:pPr>
            <w:r w:rsidRPr="00643EF4">
              <w:rPr>
                <w:rFonts w:hint="cs"/>
                <w:rtl/>
              </w:rPr>
              <w:t xml:space="preserve">33. קרן נשים למען זכויות אדם בע"מ </w:t>
            </w:r>
          </w:p>
        </w:tc>
      </w:tr>
      <w:tr w:rsidR="005B1E2D" w:rsidRPr="00643EF4" w14:paraId="474B5867" w14:textId="77777777" w:rsidTr="005B1E2D">
        <w:tc>
          <w:tcPr>
            <w:tcW w:w="3217" w:type="dxa"/>
          </w:tcPr>
          <w:p w14:paraId="35DFFD86" w14:textId="77777777" w:rsidR="005B1E2D" w:rsidRPr="00643EF4" w:rsidRDefault="005B1E2D" w:rsidP="00E0365A">
            <w:pPr>
              <w:pStyle w:val="BodyRuller"/>
              <w:rPr>
                <w:rFonts w:ascii="David" w:hAnsi="David"/>
              </w:rPr>
            </w:pPr>
          </w:p>
        </w:tc>
        <w:tc>
          <w:tcPr>
            <w:tcW w:w="5095" w:type="dxa"/>
          </w:tcPr>
          <w:p w14:paraId="6D0DD904" w14:textId="686296EB" w:rsidR="005B1E2D" w:rsidRPr="00643EF4" w:rsidRDefault="005B1E2D" w:rsidP="000865B2">
            <w:pPr>
              <w:pStyle w:val="BodyRuller"/>
            </w:pPr>
            <w:r w:rsidRPr="00643EF4">
              <w:rPr>
                <w:rFonts w:hint="cs"/>
                <w:rtl/>
              </w:rPr>
              <w:t>34. שומרי משפט</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רבנים למען זכויות אדם</w:t>
            </w:r>
          </w:p>
        </w:tc>
      </w:tr>
      <w:tr w:rsidR="005B1E2D" w:rsidRPr="00643EF4" w14:paraId="46956C71" w14:textId="77777777" w:rsidTr="005B1E2D">
        <w:tc>
          <w:tcPr>
            <w:tcW w:w="3217" w:type="dxa"/>
          </w:tcPr>
          <w:p w14:paraId="308B3B44" w14:textId="77777777" w:rsidR="005B1E2D" w:rsidRPr="00643EF4" w:rsidRDefault="005B1E2D" w:rsidP="00E0365A">
            <w:pPr>
              <w:pStyle w:val="BodyRuller"/>
              <w:rPr>
                <w:rFonts w:ascii="David" w:hAnsi="David"/>
              </w:rPr>
            </w:pPr>
          </w:p>
        </w:tc>
        <w:tc>
          <w:tcPr>
            <w:tcW w:w="5095" w:type="dxa"/>
          </w:tcPr>
          <w:p w14:paraId="686D5CFE" w14:textId="77777777" w:rsidR="005B1E2D" w:rsidRPr="00643EF4" w:rsidRDefault="005B1E2D" w:rsidP="005B1E2D">
            <w:pPr>
              <w:pStyle w:val="BodyRuller"/>
            </w:pPr>
            <w:r w:rsidRPr="00643EF4">
              <w:rPr>
                <w:rFonts w:hint="cs"/>
                <w:rtl/>
              </w:rPr>
              <w:t>35. עמק שווה בע"מ</w:t>
            </w:r>
          </w:p>
        </w:tc>
      </w:tr>
      <w:tr w:rsidR="005B1E2D" w:rsidRPr="00643EF4" w14:paraId="0F1AEEAB" w14:textId="77777777" w:rsidTr="005B1E2D">
        <w:tc>
          <w:tcPr>
            <w:tcW w:w="3217" w:type="dxa"/>
          </w:tcPr>
          <w:p w14:paraId="6D6E01AA" w14:textId="77777777" w:rsidR="005B1E2D" w:rsidRPr="00643EF4" w:rsidRDefault="005B1E2D" w:rsidP="00E0365A">
            <w:pPr>
              <w:pStyle w:val="BodyRuller"/>
              <w:rPr>
                <w:rFonts w:ascii="David" w:hAnsi="David"/>
              </w:rPr>
            </w:pPr>
          </w:p>
        </w:tc>
        <w:tc>
          <w:tcPr>
            <w:tcW w:w="5095" w:type="dxa"/>
          </w:tcPr>
          <w:p w14:paraId="3042D610" w14:textId="77777777" w:rsidR="005B1E2D" w:rsidRPr="00643EF4" w:rsidRDefault="005B1E2D" w:rsidP="005B1E2D">
            <w:pPr>
              <w:pStyle w:val="BodyRuller"/>
            </w:pPr>
            <w:r w:rsidRPr="00643EF4">
              <w:rPr>
                <w:rFonts w:hint="cs"/>
                <w:rtl/>
              </w:rPr>
              <w:t>36. רופאים לזכויות אדם</w:t>
            </w:r>
          </w:p>
        </w:tc>
      </w:tr>
      <w:tr w:rsidR="005B1E2D" w:rsidRPr="00643EF4" w14:paraId="08E4FF50" w14:textId="77777777" w:rsidTr="005B1E2D">
        <w:tc>
          <w:tcPr>
            <w:tcW w:w="3217" w:type="dxa"/>
          </w:tcPr>
          <w:p w14:paraId="1742DB35" w14:textId="77777777" w:rsidR="005B1E2D" w:rsidRPr="00643EF4" w:rsidRDefault="005B1E2D" w:rsidP="00E0365A">
            <w:pPr>
              <w:pStyle w:val="BodyRuller"/>
              <w:rPr>
                <w:rFonts w:ascii="David" w:hAnsi="David"/>
              </w:rPr>
            </w:pPr>
          </w:p>
        </w:tc>
        <w:tc>
          <w:tcPr>
            <w:tcW w:w="5095" w:type="dxa"/>
          </w:tcPr>
          <w:p w14:paraId="7AE045DC" w14:textId="4802C799" w:rsidR="005B1E2D" w:rsidRPr="00643EF4" w:rsidRDefault="005B1E2D" w:rsidP="000865B2">
            <w:pPr>
              <w:pStyle w:val="BodyRuller"/>
            </w:pPr>
            <w:r w:rsidRPr="00643EF4">
              <w:rPr>
                <w:rFonts w:hint="cs"/>
                <w:rtl/>
              </w:rPr>
              <w:t>37. גישה</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מרכז לשמירה על הזכות לנוע</w:t>
            </w:r>
          </w:p>
        </w:tc>
      </w:tr>
      <w:tr w:rsidR="005B1E2D" w:rsidRPr="00643EF4" w14:paraId="471A5EAA" w14:textId="77777777" w:rsidTr="005B1E2D">
        <w:tc>
          <w:tcPr>
            <w:tcW w:w="3217" w:type="dxa"/>
          </w:tcPr>
          <w:p w14:paraId="5423533D" w14:textId="77777777" w:rsidR="005B1E2D" w:rsidRPr="00643EF4" w:rsidRDefault="005B1E2D" w:rsidP="00E0365A">
            <w:pPr>
              <w:pStyle w:val="BodyRuller"/>
              <w:rPr>
                <w:rFonts w:ascii="David" w:hAnsi="David"/>
              </w:rPr>
            </w:pPr>
          </w:p>
        </w:tc>
        <w:tc>
          <w:tcPr>
            <w:tcW w:w="5095" w:type="dxa"/>
          </w:tcPr>
          <w:p w14:paraId="6A3D2752" w14:textId="77777777" w:rsidR="005B1E2D" w:rsidRPr="00643EF4" w:rsidRDefault="005B1E2D" w:rsidP="005B1E2D">
            <w:pPr>
              <w:pStyle w:val="BodyRuller"/>
            </w:pPr>
            <w:r w:rsidRPr="00643EF4">
              <w:rPr>
                <w:rFonts w:hint="cs"/>
                <w:rtl/>
              </w:rPr>
              <w:t>38. עקבות המכון לחקר הסכסוך הישראלי-פלסטיני</w:t>
            </w:r>
          </w:p>
        </w:tc>
      </w:tr>
      <w:tr w:rsidR="005B1E2D" w:rsidRPr="00643EF4" w14:paraId="639C9823" w14:textId="77777777" w:rsidTr="005B1E2D">
        <w:tc>
          <w:tcPr>
            <w:tcW w:w="3217" w:type="dxa"/>
          </w:tcPr>
          <w:p w14:paraId="59AE6C7C" w14:textId="77777777" w:rsidR="005B1E2D" w:rsidRPr="00643EF4" w:rsidRDefault="005B1E2D" w:rsidP="00E0365A">
            <w:pPr>
              <w:pStyle w:val="BodyRuller"/>
              <w:rPr>
                <w:rFonts w:ascii="David" w:hAnsi="David"/>
              </w:rPr>
            </w:pPr>
          </w:p>
        </w:tc>
        <w:tc>
          <w:tcPr>
            <w:tcW w:w="5095" w:type="dxa"/>
          </w:tcPr>
          <w:p w14:paraId="1384AAE4" w14:textId="77777777" w:rsidR="005B1E2D" w:rsidRPr="00643EF4" w:rsidRDefault="005B1E2D" w:rsidP="005B1E2D">
            <w:pPr>
              <w:pStyle w:val="BodyRuller"/>
            </w:pPr>
            <w:r w:rsidRPr="00643EF4">
              <w:rPr>
                <w:rFonts w:hint="cs"/>
                <w:rtl/>
              </w:rPr>
              <w:t>39. עיר עמים</w:t>
            </w:r>
          </w:p>
        </w:tc>
      </w:tr>
      <w:tr w:rsidR="005B1E2D" w:rsidRPr="00643EF4" w14:paraId="06452707" w14:textId="77777777" w:rsidTr="005B1E2D">
        <w:tc>
          <w:tcPr>
            <w:tcW w:w="3217" w:type="dxa"/>
          </w:tcPr>
          <w:p w14:paraId="0985501C" w14:textId="77777777" w:rsidR="005B1E2D" w:rsidRPr="00643EF4" w:rsidRDefault="005B1E2D" w:rsidP="00E0365A">
            <w:pPr>
              <w:pStyle w:val="BodyRuller"/>
              <w:rPr>
                <w:rFonts w:ascii="David" w:hAnsi="David"/>
              </w:rPr>
            </w:pPr>
          </w:p>
        </w:tc>
        <w:tc>
          <w:tcPr>
            <w:tcW w:w="5095" w:type="dxa"/>
          </w:tcPr>
          <w:p w14:paraId="5A5EEA08" w14:textId="559A5819" w:rsidR="005B1E2D" w:rsidRPr="00643EF4" w:rsidRDefault="005B1E2D" w:rsidP="000865B2">
            <w:pPr>
              <w:pStyle w:val="BodyRuller"/>
            </w:pPr>
            <w:r w:rsidRPr="00643EF4">
              <w:rPr>
                <w:rFonts w:hint="cs"/>
                <w:rtl/>
              </w:rPr>
              <w:t>40. חקל</w:t>
            </w:r>
            <w:r w:rsidR="00127FFC" w:rsidRPr="00643EF4">
              <w:rPr>
                <w:rFonts w:hint="cs"/>
                <w:rtl/>
              </w:rPr>
              <w:t xml:space="preserve"> </w:t>
            </w:r>
            <w:r w:rsidR="00127FFC" w:rsidRPr="00643EF4">
              <w:rPr>
                <w:rtl/>
              </w:rPr>
              <w:t>–</w:t>
            </w:r>
            <w:r w:rsidR="00127FFC" w:rsidRPr="00643EF4">
              <w:rPr>
                <w:rFonts w:hint="cs"/>
                <w:rtl/>
              </w:rPr>
              <w:t xml:space="preserve"> </w:t>
            </w:r>
            <w:r w:rsidRPr="00643EF4">
              <w:rPr>
                <w:rFonts w:hint="cs"/>
                <w:rtl/>
              </w:rPr>
              <w:t>ברית להגנה על זכויות אדם</w:t>
            </w:r>
          </w:p>
        </w:tc>
      </w:tr>
    </w:tbl>
    <w:p w14:paraId="25F6DD29" w14:textId="77777777" w:rsidR="005B1E2D" w:rsidRPr="00643EF4" w:rsidRDefault="005B1E2D">
      <w:pPr>
        <w:pStyle w:val="Ruller3"/>
      </w:pPr>
    </w:p>
    <w:tbl>
      <w:tblPr>
        <w:bidiVisual/>
        <w:tblW w:w="8363" w:type="dxa"/>
        <w:tblLook w:val="0000" w:firstRow="0" w:lastRow="0" w:firstColumn="0" w:lastColumn="0" w:noHBand="0" w:noVBand="0"/>
      </w:tblPr>
      <w:tblGrid>
        <w:gridCol w:w="3223"/>
        <w:gridCol w:w="5140"/>
      </w:tblGrid>
      <w:tr w:rsidR="00036227" w:rsidRPr="00643EF4" w14:paraId="0A94C531" w14:textId="77777777" w:rsidTr="0039709B">
        <w:tc>
          <w:tcPr>
            <w:tcW w:w="3284" w:type="dxa"/>
          </w:tcPr>
          <w:p w14:paraId="0A8F286B" w14:textId="77777777" w:rsidR="00036227" w:rsidRPr="00643EF4" w:rsidRDefault="00036227">
            <w:pPr>
              <w:pStyle w:val="BodyRuller"/>
            </w:pPr>
          </w:p>
        </w:tc>
        <w:tc>
          <w:tcPr>
            <w:tcW w:w="5238" w:type="dxa"/>
          </w:tcPr>
          <w:p w14:paraId="310E3F07" w14:textId="77777777" w:rsidR="00036227" w:rsidRPr="00643EF4" w:rsidRDefault="00036227">
            <w:pPr>
              <w:pStyle w:val="BodyRuller"/>
            </w:pPr>
            <w:r w:rsidRPr="00643EF4">
              <w:rPr>
                <w:rFonts w:hint="cs"/>
                <w:rtl/>
              </w:rPr>
              <w:t>נ</w:t>
            </w:r>
            <w:r w:rsidR="00E0365A" w:rsidRPr="00643EF4">
              <w:rPr>
                <w:rtl/>
              </w:rPr>
              <w:t xml:space="preserve"> </w:t>
            </w:r>
            <w:r w:rsidRPr="00643EF4">
              <w:rPr>
                <w:rFonts w:hint="cs"/>
                <w:rtl/>
              </w:rPr>
              <w:t>ג</w:t>
            </w:r>
            <w:r w:rsidR="00E0365A" w:rsidRPr="00643EF4">
              <w:rPr>
                <w:rtl/>
              </w:rPr>
              <w:t xml:space="preserve"> </w:t>
            </w:r>
            <w:r w:rsidRPr="00643EF4">
              <w:rPr>
                <w:rFonts w:hint="cs"/>
                <w:rtl/>
              </w:rPr>
              <w:t>ד</w:t>
            </w:r>
          </w:p>
        </w:tc>
      </w:tr>
    </w:tbl>
    <w:p w14:paraId="085D8D85" w14:textId="77777777" w:rsidR="00916FF8" w:rsidRPr="00643EF4"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RPr="00643EF4" w14:paraId="3AE4090B" w14:textId="77777777" w:rsidTr="005B1E2D">
        <w:trPr>
          <w:trHeight w:val="287"/>
        </w:trPr>
        <w:tc>
          <w:tcPr>
            <w:tcW w:w="3210" w:type="dxa"/>
          </w:tcPr>
          <w:p w14:paraId="080ADAF2" w14:textId="77777777" w:rsidR="0083345F" w:rsidRPr="00643EF4" w:rsidRDefault="004267A9" w:rsidP="00E0365A">
            <w:pPr>
              <w:pStyle w:val="BodyRuller"/>
              <w:rPr>
                <w:rFonts w:ascii="David" w:hAnsi="David"/>
              </w:rPr>
            </w:pPr>
            <w:r w:rsidRPr="00643EF4">
              <w:rPr>
                <w:rFonts w:ascii="David" w:hAnsi="David"/>
                <w:rtl/>
              </w:rPr>
              <w:t>המשיבים</w:t>
            </w:r>
            <w:r w:rsidR="005B1E2D" w:rsidRPr="00643EF4">
              <w:rPr>
                <w:rFonts w:ascii="David" w:hAnsi="David" w:hint="cs"/>
                <w:rtl/>
              </w:rPr>
              <w:t xml:space="preserve"> בבג"ץ 1308/17</w:t>
            </w:r>
            <w:r w:rsidRPr="00643EF4">
              <w:rPr>
                <w:rFonts w:ascii="David" w:hAnsi="David"/>
                <w:rtl/>
              </w:rPr>
              <w:t>:</w:t>
            </w:r>
          </w:p>
        </w:tc>
        <w:tc>
          <w:tcPr>
            <w:tcW w:w="5154" w:type="dxa"/>
          </w:tcPr>
          <w:p w14:paraId="237E2F29" w14:textId="77777777" w:rsidR="0083345F" w:rsidRPr="00643EF4" w:rsidRDefault="004267A9" w:rsidP="00E0365A">
            <w:pPr>
              <w:pStyle w:val="BodyRuller"/>
            </w:pPr>
            <w:r w:rsidRPr="00643EF4">
              <w:rPr>
                <w:rtl/>
              </w:rPr>
              <w:t>1. הכנסת</w:t>
            </w:r>
          </w:p>
        </w:tc>
      </w:tr>
      <w:tr w:rsidR="004267A9" w:rsidRPr="00643EF4" w14:paraId="19DC1CC1" w14:textId="77777777" w:rsidTr="005B1E2D">
        <w:trPr>
          <w:trHeight w:val="287"/>
        </w:trPr>
        <w:tc>
          <w:tcPr>
            <w:tcW w:w="3210" w:type="dxa"/>
          </w:tcPr>
          <w:p w14:paraId="593BB9F8" w14:textId="77777777" w:rsidR="004267A9" w:rsidRPr="00643EF4" w:rsidRDefault="004267A9" w:rsidP="00E0365A">
            <w:pPr>
              <w:pStyle w:val="BodyRuller"/>
              <w:rPr>
                <w:rFonts w:ascii="David" w:hAnsi="David"/>
                <w:rtl/>
              </w:rPr>
            </w:pPr>
          </w:p>
        </w:tc>
        <w:tc>
          <w:tcPr>
            <w:tcW w:w="5154" w:type="dxa"/>
          </w:tcPr>
          <w:p w14:paraId="635A4A2A" w14:textId="77777777" w:rsidR="004267A9" w:rsidRPr="00643EF4" w:rsidRDefault="004267A9" w:rsidP="00E0365A">
            <w:pPr>
              <w:pStyle w:val="BodyRuller"/>
              <w:rPr>
                <w:rtl/>
              </w:rPr>
            </w:pPr>
            <w:r w:rsidRPr="00643EF4">
              <w:rPr>
                <w:rtl/>
              </w:rPr>
              <w:t>2. המפקד הצבאי באזור הגדה המערבית</w:t>
            </w:r>
          </w:p>
        </w:tc>
      </w:tr>
      <w:tr w:rsidR="004267A9" w:rsidRPr="00643EF4" w14:paraId="7BC671AF" w14:textId="77777777" w:rsidTr="005B1E2D">
        <w:trPr>
          <w:trHeight w:val="287"/>
        </w:trPr>
        <w:tc>
          <w:tcPr>
            <w:tcW w:w="3210" w:type="dxa"/>
          </w:tcPr>
          <w:p w14:paraId="2C47D661" w14:textId="77777777" w:rsidR="004267A9" w:rsidRPr="00643EF4" w:rsidRDefault="004267A9" w:rsidP="00E0365A">
            <w:pPr>
              <w:pStyle w:val="BodyRuller"/>
              <w:rPr>
                <w:rFonts w:ascii="David" w:hAnsi="David"/>
                <w:rtl/>
              </w:rPr>
            </w:pPr>
          </w:p>
        </w:tc>
        <w:tc>
          <w:tcPr>
            <w:tcW w:w="5154" w:type="dxa"/>
          </w:tcPr>
          <w:p w14:paraId="5AF81EE7" w14:textId="77777777" w:rsidR="004267A9" w:rsidRPr="00643EF4" w:rsidRDefault="004267A9" w:rsidP="00E0365A">
            <w:pPr>
              <w:pStyle w:val="BodyRuller"/>
              <w:rPr>
                <w:rtl/>
              </w:rPr>
            </w:pPr>
            <w:r w:rsidRPr="00643EF4">
              <w:rPr>
                <w:rtl/>
              </w:rPr>
              <w:t>3. הממשלה</w:t>
            </w:r>
          </w:p>
        </w:tc>
      </w:tr>
      <w:tr w:rsidR="004267A9" w:rsidRPr="00643EF4" w14:paraId="067DF654" w14:textId="77777777" w:rsidTr="005B1E2D">
        <w:trPr>
          <w:trHeight w:val="287"/>
        </w:trPr>
        <w:tc>
          <w:tcPr>
            <w:tcW w:w="3210" w:type="dxa"/>
          </w:tcPr>
          <w:p w14:paraId="07044AC0" w14:textId="77777777" w:rsidR="004267A9" w:rsidRPr="00643EF4" w:rsidRDefault="004267A9" w:rsidP="00E0365A">
            <w:pPr>
              <w:pStyle w:val="BodyRuller"/>
              <w:rPr>
                <w:rFonts w:ascii="David" w:hAnsi="David"/>
                <w:rtl/>
              </w:rPr>
            </w:pPr>
          </w:p>
        </w:tc>
        <w:tc>
          <w:tcPr>
            <w:tcW w:w="5154" w:type="dxa"/>
          </w:tcPr>
          <w:p w14:paraId="4AB46B1C" w14:textId="77777777" w:rsidR="004267A9" w:rsidRPr="00643EF4" w:rsidRDefault="004267A9" w:rsidP="00E0365A">
            <w:pPr>
              <w:pStyle w:val="BodyRuller"/>
              <w:rPr>
                <w:rtl/>
              </w:rPr>
            </w:pPr>
            <w:r w:rsidRPr="00643EF4">
              <w:rPr>
                <w:rtl/>
              </w:rPr>
              <w:t>4. המועצה האזורית מטה בנימין</w:t>
            </w:r>
          </w:p>
        </w:tc>
      </w:tr>
    </w:tbl>
    <w:p w14:paraId="295FB03C" w14:textId="77777777" w:rsidR="005B1E2D" w:rsidRPr="00643EF4" w:rsidRDefault="005B1E2D" w:rsidP="005B1E2D">
      <w:pPr>
        <w:rPr>
          <w:sz w:val="26"/>
          <w:szCs w:val="26"/>
          <w:rtl/>
        </w:rPr>
      </w:pPr>
    </w:p>
    <w:tbl>
      <w:tblPr>
        <w:bidiVisual/>
        <w:tblW w:w="0" w:type="auto"/>
        <w:tblLook w:val="04A0" w:firstRow="1" w:lastRow="0" w:firstColumn="1" w:lastColumn="0" w:noHBand="0" w:noVBand="1"/>
      </w:tblPr>
      <w:tblGrid>
        <w:gridCol w:w="3209"/>
        <w:gridCol w:w="5103"/>
      </w:tblGrid>
      <w:tr w:rsidR="005B1E2D" w:rsidRPr="00643EF4" w14:paraId="296E69DE" w14:textId="77777777" w:rsidTr="005B1E2D">
        <w:tc>
          <w:tcPr>
            <w:tcW w:w="3209" w:type="dxa"/>
            <w:hideMark/>
          </w:tcPr>
          <w:p w14:paraId="56F8BEB8" w14:textId="77777777" w:rsidR="005B1E2D" w:rsidRPr="00643EF4" w:rsidRDefault="005B1E2D" w:rsidP="005B1E2D">
            <w:pPr>
              <w:pStyle w:val="BodyRuller"/>
              <w:rPr>
                <w:rFonts w:ascii="David" w:hAnsi="David"/>
              </w:rPr>
            </w:pPr>
            <w:r w:rsidRPr="00643EF4">
              <w:rPr>
                <w:rFonts w:ascii="David" w:hAnsi="David" w:hint="cs"/>
                <w:rtl/>
              </w:rPr>
              <w:t>המשיבים בבג"ץ 2055/17:</w:t>
            </w:r>
          </w:p>
        </w:tc>
        <w:tc>
          <w:tcPr>
            <w:tcW w:w="5103" w:type="dxa"/>
            <w:hideMark/>
          </w:tcPr>
          <w:p w14:paraId="1FB97947" w14:textId="77777777" w:rsidR="005B1E2D" w:rsidRPr="00643EF4" w:rsidRDefault="005B1E2D" w:rsidP="005B1E2D">
            <w:pPr>
              <w:pStyle w:val="BodyRuller"/>
              <w:rPr>
                <w:rFonts w:ascii="David" w:hAnsi="David"/>
              </w:rPr>
            </w:pPr>
            <w:r w:rsidRPr="00643EF4">
              <w:rPr>
                <w:rFonts w:ascii="David" w:hAnsi="David" w:hint="cs"/>
                <w:rtl/>
              </w:rPr>
              <w:t>1. הכנסת</w:t>
            </w:r>
          </w:p>
        </w:tc>
      </w:tr>
      <w:tr w:rsidR="005B1E2D" w:rsidRPr="00643EF4" w14:paraId="0089610B" w14:textId="77777777" w:rsidTr="005B1E2D">
        <w:tc>
          <w:tcPr>
            <w:tcW w:w="3209" w:type="dxa"/>
          </w:tcPr>
          <w:p w14:paraId="0BE031A8" w14:textId="77777777" w:rsidR="005B1E2D" w:rsidRPr="00643EF4" w:rsidRDefault="005B1E2D" w:rsidP="005B1E2D">
            <w:pPr>
              <w:pStyle w:val="BodyRuller"/>
              <w:rPr>
                <w:rFonts w:ascii="David" w:hAnsi="David"/>
              </w:rPr>
            </w:pPr>
          </w:p>
        </w:tc>
        <w:tc>
          <w:tcPr>
            <w:tcW w:w="5103" w:type="dxa"/>
            <w:hideMark/>
          </w:tcPr>
          <w:p w14:paraId="32DDC2DD" w14:textId="77777777" w:rsidR="005B1E2D" w:rsidRPr="00643EF4" w:rsidRDefault="005B1E2D" w:rsidP="005B1E2D">
            <w:pPr>
              <w:pStyle w:val="BodyRuller"/>
              <w:rPr>
                <w:rFonts w:ascii="David" w:hAnsi="David"/>
              </w:rPr>
            </w:pPr>
            <w:r w:rsidRPr="00643EF4">
              <w:rPr>
                <w:rFonts w:ascii="David" w:hAnsi="David" w:hint="cs"/>
                <w:rtl/>
              </w:rPr>
              <w:t>2. הממשלה</w:t>
            </w:r>
          </w:p>
        </w:tc>
      </w:tr>
      <w:tr w:rsidR="005B1E2D" w:rsidRPr="00643EF4" w14:paraId="5A6E137F" w14:textId="77777777" w:rsidTr="005B1E2D">
        <w:tc>
          <w:tcPr>
            <w:tcW w:w="3209" w:type="dxa"/>
          </w:tcPr>
          <w:p w14:paraId="315CA4C9" w14:textId="77777777" w:rsidR="005B1E2D" w:rsidRPr="00643EF4" w:rsidRDefault="005B1E2D" w:rsidP="005B1E2D">
            <w:pPr>
              <w:pStyle w:val="BodyRuller"/>
              <w:rPr>
                <w:rFonts w:ascii="David" w:hAnsi="David"/>
              </w:rPr>
            </w:pPr>
          </w:p>
        </w:tc>
        <w:tc>
          <w:tcPr>
            <w:tcW w:w="5103" w:type="dxa"/>
            <w:hideMark/>
          </w:tcPr>
          <w:p w14:paraId="4A2A78EE" w14:textId="77777777" w:rsidR="005B1E2D" w:rsidRPr="00643EF4" w:rsidRDefault="005B1E2D" w:rsidP="005B1E2D">
            <w:pPr>
              <w:pStyle w:val="BodyRuller"/>
              <w:rPr>
                <w:rFonts w:ascii="David" w:hAnsi="David"/>
              </w:rPr>
            </w:pPr>
            <w:r w:rsidRPr="00643EF4">
              <w:rPr>
                <w:rFonts w:ascii="David" w:hAnsi="David" w:hint="cs"/>
                <w:rtl/>
              </w:rPr>
              <w:t>3. היועץ המשפטי לממשלה</w:t>
            </w:r>
          </w:p>
        </w:tc>
      </w:tr>
      <w:tr w:rsidR="005B1E2D" w:rsidRPr="00643EF4" w14:paraId="153CEC56" w14:textId="77777777" w:rsidTr="005B1E2D">
        <w:tc>
          <w:tcPr>
            <w:tcW w:w="3209" w:type="dxa"/>
          </w:tcPr>
          <w:p w14:paraId="4BEEC6CD" w14:textId="77777777" w:rsidR="005B1E2D" w:rsidRPr="00643EF4" w:rsidRDefault="005B1E2D" w:rsidP="005B1E2D">
            <w:pPr>
              <w:pStyle w:val="BodyRuller"/>
              <w:rPr>
                <w:rFonts w:ascii="David" w:hAnsi="David"/>
              </w:rPr>
            </w:pPr>
          </w:p>
        </w:tc>
        <w:tc>
          <w:tcPr>
            <w:tcW w:w="5103" w:type="dxa"/>
            <w:hideMark/>
          </w:tcPr>
          <w:p w14:paraId="224D943F" w14:textId="77777777" w:rsidR="005B1E2D" w:rsidRPr="00643EF4" w:rsidRDefault="005B1E2D" w:rsidP="005B1E2D">
            <w:pPr>
              <w:pStyle w:val="BodyRuller"/>
              <w:rPr>
                <w:rFonts w:ascii="David" w:hAnsi="David"/>
              </w:rPr>
            </w:pPr>
            <w:r w:rsidRPr="00643EF4">
              <w:rPr>
                <w:rFonts w:ascii="David" w:hAnsi="David" w:hint="cs"/>
                <w:rtl/>
              </w:rPr>
              <w:t>4. הפרקליט הצבאי הראשי</w:t>
            </w:r>
          </w:p>
        </w:tc>
      </w:tr>
      <w:tr w:rsidR="005B1E2D" w:rsidRPr="00643EF4" w14:paraId="655A0829" w14:textId="77777777" w:rsidTr="005B1E2D">
        <w:tc>
          <w:tcPr>
            <w:tcW w:w="3209" w:type="dxa"/>
          </w:tcPr>
          <w:p w14:paraId="5D43629A" w14:textId="77777777" w:rsidR="005B1E2D" w:rsidRPr="00643EF4" w:rsidRDefault="005B1E2D" w:rsidP="005B1E2D">
            <w:pPr>
              <w:pStyle w:val="BodyRuller"/>
              <w:rPr>
                <w:rFonts w:ascii="David" w:hAnsi="David"/>
              </w:rPr>
            </w:pPr>
          </w:p>
        </w:tc>
        <w:tc>
          <w:tcPr>
            <w:tcW w:w="5103" w:type="dxa"/>
            <w:hideMark/>
          </w:tcPr>
          <w:p w14:paraId="7D2A9318" w14:textId="77777777" w:rsidR="005B1E2D" w:rsidRPr="00643EF4" w:rsidRDefault="005B1E2D" w:rsidP="005B1E2D">
            <w:pPr>
              <w:pStyle w:val="BodyRuller"/>
              <w:rPr>
                <w:rFonts w:ascii="David" w:hAnsi="David"/>
              </w:rPr>
            </w:pPr>
            <w:r w:rsidRPr="00643EF4">
              <w:rPr>
                <w:rFonts w:ascii="David" w:hAnsi="David" w:hint="cs"/>
                <w:rtl/>
              </w:rPr>
              <w:t>5. מפקד כוחות צה"ל בגדה המערבית</w:t>
            </w:r>
          </w:p>
        </w:tc>
      </w:tr>
      <w:tr w:rsidR="005B1E2D" w:rsidRPr="00643EF4" w14:paraId="79747B67" w14:textId="77777777" w:rsidTr="005B1E2D">
        <w:tc>
          <w:tcPr>
            <w:tcW w:w="3209" w:type="dxa"/>
          </w:tcPr>
          <w:p w14:paraId="49F80441" w14:textId="77777777" w:rsidR="005B1E2D" w:rsidRPr="00643EF4" w:rsidRDefault="005B1E2D" w:rsidP="005B1E2D">
            <w:pPr>
              <w:pStyle w:val="BodyRuller"/>
              <w:rPr>
                <w:rFonts w:ascii="David" w:hAnsi="David"/>
              </w:rPr>
            </w:pPr>
          </w:p>
        </w:tc>
        <w:tc>
          <w:tcPr>
            <w:tcW w:w="5103" w:type="dxa"/>
            <w:hideMark/>
          </w:tcPr>
          <w:p w14:paraId="4AC81904" w14:textId="77777777" w:rsidR="005B1E2D" w:rsidRPr="00643EF4" w:rsidRDefault="005B1E2D" w:rsidP="005B1E2D">
            <w:pPr>
              <w:pStyle w:val="BodyRuller"/>
              <w:rPr>
                <w:rFonts w:ascii="David" w:hAnsi="David"/>
              </w:rPr>
            </w:pPr>
            <w:r w:rsidRPr="00643EF4">
              <w:rPr>
                <w:rFonts w:ascii="David" w:hAnsi="David" w:hint="cs"/>
                <w:rtl/>
              </w:rPr>
              <w:t>6. ראש המינהל האזרחי</w:t>
            </w:r>
          </w:p>
        </w:tc>
      </w:tr>
      <w:tr w:rsidR="005B1E2D" w:rsidRPr="00643EF4" w14:paraId="627F59EE" w14:textId="77777777" w:rsidTr="005B1E2D">
        <w:tc>
          <w:tcPr>
            <w:tcW w:w="3209" w:type="dxa"/>
          </w:tcPr>
          <w:p w14:paraId="04AF0D2A" w14:textId="77777777" w:rsidR="005B1E2D" w:rsidRPr="00643EF4" w:rsidRDefault="005B1E2D" w:rsidP="005B1E2D">
            <w:pPr>
              <w:pStyle w:val="BodyRuller"/>
              <w:rPr>
                <w:rFonts w:ascii="David" w:hAnsi="David"/>
              </w:rPr>
            </w:pPr>
          </w:p>
        </w:tc>
        <w:tc>
          <w:tcPr>
            <w:tcW w:w="5103" w:type="dxa"/>
            <w:hideMark/>
          </w:tcPr>
          <w:p w14:paraId="4A98C9B7" w14:textId="77777777" w:rsidR="005B1E2D" w:rsidRPr="00643EF4" w:rsidRDefault="005B1E2D" w:rsidP="005B1E2D">
            <w:pPr>
              <w:pStyle w:val="BodyRuller"/>
              <w:rPr>
                <w:rFonts w:ascii="David" w:hAnsi="David"/>
              </w:rPr>
            </w:pPr>
            <w:r w:rsidRPr="00643EF4">
              <w:rPr>
                <w:rFonts w:ascii="David" w:hAnsi="David" w:hint="cs"/>
                <w:rtl/>
              </w:rPr>
              <w:t>7. הממונה על הרכוש הממשלתי והנטוש במינהל האזרחי</w:t>
            </w:r>
          </w:p>
        </w:tc>
      </w:tr>
      <w:tr w:rsidR="005B1E2D" w:rsidRPr="00643EF4" w14:paraId="2538DBBE" w14:textId="77777777" w:rsidTr="005B1E2D">
        <w:tc>
          <w:tcPr>
            <w:tcW w:w="3209" w:type="dxa"/>
          </w:tcPr>
          <w:p w14:paraId="4AA9E13E" w14:textId="77777777" w:rsidR="005B1E2D" w:rsidRPr="00643EF4" w:rsidRDefault="005B1E2D" w:rsidP="005B1E2D">
            <w:pPr>
              <w:pStyle w:val="BodyRuller"/>
              <w:rPr>
                <w:rFonts w:ascii="David" w:hAnsi="David"/>
              </w:rPr>
            </w:pPr>
          </w:p>
        </w:tc>
        <w:tc>
          <w:tcPr>
            <w:tcW w:w="5103" w:type="dxa"/>
            <w:hideMark/>
          </w:tcPr>
          <w:p w14:paraId="7232E2EF" w14:textId="77777777" w:rsidR="005B1E2D" w:rsidRPr="00643EF4" w:rsidRDefault="005B1E2D" w:rsidP="005B1E2D">
            <w:pPr>
              <w:pStyle w:val="BodyRuller"/>
              <w:rPr>
                <w:rFonts w:ascii="David" w:hAnsi="David"/>
              </w:rPr>
            </w:pPr>
            <w:r w:rsidRPr="00643EF4">
              <w:rPr>
                <w:rFonts w:ascii="David" w:hAnsi="David" w:hint="cs"/>
                <w:rtl/>
              </w:rPr>
              <w:t>8. המועצה האזורית מטה בנימין</w:t>
            </w:r>
          </w:p>
        </w:tc>
      </w:tr>
      <w:tr w:rsidR="005B1E2D" w:rsidRPr="00643EF4" w14:paraId="31DCB157" w14:textId="77777777" w:rsidTr="005B1E2D">
        <w:tc>
          <w:tcPr>
            <w:tcW w:w="3209" w:type="dxa"/>
          </w:tcPr>
          <w:p w14:paraId="4C58F77C" w14:textId="77777777" w:rsidR="007A5027" w:rsidRPr="00643EF4" w:rsidRDefault="007A5027" w:rsidP="005B1E2D">
            <w:pPr>
              <w:pStyle w:val="BodyRuller"/>
              <w:rPr>
                <w:rFonts w:ascii="David" w:hAnsi="David"/>
                <w:rtl/>
              </w:rPr>
            </w:pPr>
          </w:p>
          <w:p w14:paraId="684560BC" w14:textId="77777777" w:rsidR="005B1E2D" w:rsidRPr="00643EF4" w:rsidRDefault="005B1E2D" w:rsidP="005B1E2D">
            <w:pPr>
              <w:pStyle w:val="BodyRuller"/>
              <w:rPr>
                <w:rFonts w:ascii="David" w:hAnsi="David"/>
                <w:rtl/>
              </w:rPr>
            </w:pPr>
            <w:r w:rsidRPr="00643EF4">
              <w:rPr>
                <w:rFonts w:ascii="David" w:hAnsi="David" w:hint="cs"/>
                <w:rtl/>
              </w:rPr>
              <w:t>המבקשים להצטרף לבג"ץ 1308/17:</w:t>
            </w:r>
          </w:p>
          <w:p w14:paraId="1152D7AD" w14:textId="3C6420A6" w:rsidR="008D1008" w:rsidRPr="00643EF4" w:rsidRDefault="008D1008" w:rsidP="005B1E2D">
            <w:pPr>
              <w:pStyle w:val="BodyRuller"/>
              <w:rPr>
                <w:rFonts w:ascii="David" w:hAnsi="David"/>
              </w:rPr>
            </w:pPr>
          </w:p>
        </w:tc>
        <w:tc>
          <w:tcPr>
            <w:tcW w:w="5103" w:type="dxa"/>
            <w:hideMark/>
          </w:tcPr>
          <w:p w14:paraId="0C1B2625" w14:textId="77777777" w:rsidR="007A5027" w:rsidRPr="00643EF4" w:rsidRDefault="007A5027" w:rsidP="005B1E2D">
            <w:pPr>
              <w:pStyle w:val="BodyRuller"/>
              <w:rPr>
                <w:rFonts w:ascii="David" w:hAnsi="David"/>
                <w:rtl/>
              </w:rPr>
            </w:pPr>
          </w:p>
          <w:p w14:paraId="3228BE8C" w14:textId="77777777" w:rsidR="005B1E2D" w:rsidRPr="00643EF4" w:rsidRDefault="005B1E2D" w:rsidP="005B1E2D">
            <w:pPr>
              <w:pStyle w:val="BodyRuller"/>
              <w:rPr>
                <w:rFonts w:ascii="David" w:hAnsi="David"/>
                <w:rtl/>
              </w:rPr>
            </w:pPr>
            <w:r w:rsidRPr="00643EF4">
              <w:rPr>
                <w:rFonts w:ascii="David" w:hAnsi="David" w:hint="cs"/>
                <w:rtl/>
              </w:rPr>
              <w:t>פרופ' דוד אנוך ו-27 אח'</w:t>
            </w:r>
          </w:p>
          <w:p w14:paraId="6022CB43" w14:textId="77777777" w:rsidR="005B1E2D" w:rsidRPr="00643EF4" w:rsidRDefault="005B1E2D" w:rsidP="005B1E2D">
            <w:pPr>
              <w:pStyle w:val="BodyRuller"/>
              <w:rPr>
                <w:rFonts w:ascii="David" w:hAnsi="David"/>
              </w:rPr>
            </w:pPr>
          </w:p>
        </w:tc>
      </w:tr>
      <w:tr w:rsidR="005B1E2D" w:rsidRPr="00643EF4" w14:paraId="453991F9" w14:textId="77777777" w:rsidTr="005B1E2D">
        <w:tc>
          <w:tcPr>
            <w:tcW w:w="3209" w:type="dxa"/>
          </w:tcPr>
          <w:p w14:paraId="7A8C34F0" w14:textId="77777777" w:rsidR="005B1E2D" w:rsidRPr="00643EF4" w:rsidRDefault="005B1E2D" w:rsidP="005B1E2D">
            <w:pPr>
              <w:pStyle w:val="BodyRuller"/>
              <w:rPr>
                <w:rFonts w:ascii="David" w:hAnsi="David"/>
              </w:rPr>
            </w:pPr>
            <w:r w:rsidRPr="00643EF4">
              <w:rPr>
                <w:rFonts w:ascii="David" w:hAnsi="David" w:hint="cs"/>
                <w:rtl/>
              </w:rPr>
              <w:t>המבקש להצטרף לבג"ץ 1308/17 ולבג"ץ 2055/17:</w:t>
            </w:r>
          </w:p>
        </w:tc>
        <w:tc>
          <w:tcPr>
            <w:tcW w:w="5103" w:type="dxa"/>
            <w:hideMark/>
          </w:tcPr>
          <w:p w14:paraId="6FD7CF53" w14:textId="77777777" w:rsidR="005B1E2D" w:rsidRPr="00643EF4" w:rsidRDefault="005B1E2D" w:rsidP="005B1E2D">
            <w:pPr>
              <w:pStyle w:val="BodyRuller"/>
              <w:rPr>
                <w:rFonts w:ascii="David" w:hAnsi="David"/>
              </w:rPr>
            </w:pPr>
            <w:r w:rsidRPr="00643EF4">
              <w:rPr>
                <w:rFonts w:ascii="David" w:hAnsi="David" w:hint="cs"/>
                <w:rtl/>
              </w:rPr>
              <w:t>יוסף עזרא</w:t>
            </w:r>
          </w:p>
        </w:tc>
      </w:tr>
    </w:tbl>
    <w:p w14:paraId="4CA1C9CF" w14:textId="77777777" w:rsidR="005B1E2D" w:rsidRPr="00643EF4" w:rsidRDefault="005B1E2D">
      <w:pPr>
        <w:pStyle w:val="Ruller3"/>
      </w:pPr>
    </w:p>
    <w:tbl>
      <w:tblPr>
        <w:bidiVisual/>
        <w:tblW w:w="0" w:type="auto"/>
        <w:tblInd w:w="3209" w:type="dxa"/>
        <w:tblLook w:val="0000" w:firstRow="0" w:lastRow="0" w:firstColumn="0" w:lastColumn="0" w:noHBand="0" w:noVBand="0"/>
      </w:tblPr>
      <w:tblGrid>
        <w:gridCol w:w="5103"/>
      </w:tblGrid>
      <w:tr w:rsidR="00036227" w:rsidRPr="00643EF4" w14:paraId="110B3F3B" w14:textId="77777777" w:rsidTr="00CA1444">
        <w:tc>
          <w:tcPr>
            <w:tcW w:w="5103" w:type="dxa"/>
          </w:tcPr>
          <w:p w14:paraId="75C7E78F" w14:textId="77777777" w:rsidR="00916FF8" w:rsidRPr="00643EF4" w:rsidRDefault="005B1E2D">
            <w:pPr>
              <w:pStyle w:val="BodyRuller"/>
              <w:rPr>
                <w:sz w:val="24"/>
                <w:szCs w:val="24"/>
              </w:rPr>
            </w:pPr>
            <w:r w:rsidRPr="00643EF4">
              <w:rPr>
                <w:rFonts w:hint="cs"/>
                <w:sz w:val="24"/>
                <w:szCs w:val="24"/>
                <w:rtl/>
              </w:rPr>
              <w:t>עתירות למתן צו על תנאי וצו ביניים</w:t>
            </w:r>
          </w:p>
        </w:tc>
      </w:tr>
    </w:tbl>
    <w:p w14:paraId="77856BA9" w14:textId="77777777" w:rsidR="00916FF8" w:rsidRPr="00643EF4" w:rsidRDefault="00916FF8">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RPr="00643EF4" w14:paraId="26428BDA" w14:textId="77777777" w:rsidTr="00D00B1D">
        <w:tc>
          <w:tcPr>
            <w:tcW w:w="3212" w:type="dxa"/>
            <w:tcBorders>
              <w:top w:val="nil"/>
              <w:left w:val="nil"/>
              <w:bottom w:val="nil"/>
              <w:right w:val="nil"/>
            </w:tcBorders>
          </w:tcPr>
          <w:p w14:paraId="54801932" w14:textId="77777777" w:rsidR="008C2F11" w:rsidRPr="00643EF4" w:rsidRDefault="008C2F11">
            <w:pPr>
              <w:pStyle w:val="BodyRuller"/>
              <w:rPr>
                <w:sz w:val="24"/>
                <w:szCs w:val="24"/>
              </w:rPr>
            </w:pPr>
            <w:r w:rsidRPr="00643EF4">
              <w:rPr>
                <w:sz w:val="24"/>
                <w:szCs w:val="24"/>
                <w:rtl/>
              </w:rPr>
              <w:t>תאריך הישיבה:</w:t>
            </w:r>
          </w:p>
        </w:tc>
        <w:tc>
          <w:tcPr>
            <w:tcW w:w="2409" w:type="dxa"/>
            <w:tcBorders>
              <w:top w:val="nil"/>
              <w:left w:val="nil"/>
              <w:bottom w:val="nil"/>
              <w:right w:val="nil"/>
            </w:tcBorders>
          </w:tcPr>
          <w:p w14:paraId="51537518" w14:textId="0F8DAA89" w:rsidR="008C2F11" w:rsidRPr="00643EF4" w:rsidRDefault="005B1E2D" w:rsidP="005B1E2D">
            <w:pPr>
              <w:pStyle w:val="BodyRuller"/>
              <w:rPr>
                <w:rtl/>
              </w:rPr>
            </w:pPr>
            <w:r w:rsidRPr="00643EF4">
              <w:rPr>
                <w:rFonts w:hint="cs"/>
                <w:sz w:val="24"/>
                <w:szCs w:val="24"/>
                <w:rtl/>
              </w:rPr>
              <w:t>כ</w:t>
            </w:r>
            <w:r w:rsidR="004267A9" w:rsidRPr="00643EF4">
              <w:rPr>
                <w:sz w:val="24"/>
                <w:szCs w:val="24"/>
                <w:rtl/>
              </w:rPr>
              <w:t>' ב</w:t>
            </w:r>
            <w:r w:rsidRPr="00643EF4">
              <w:rPr>
                <w:rFonts w:hint="cs"/>
                <w:sz w:val="24"/>
                <w:szCs w:val="24"/>
                <w:rtl/>
              </w:rPr>
              <w:t>סיון</w:t>
            </w:r>
            <w:r w:rsidR="004267A9" w:rsidRPr="00643EF4">
              <w:rPr>
                <w:sz w:val="24"/>
                <w:szCs w:val="24"/>
                <w:rtl/>
              </w:rPr>
              <w:t xml:space="preserve"> ה</w:t>
            </w:r>
            <w:r w:rsidRPr="00643EF4">
              <w:rPr>
                <w:rFonts w:hint="cs"/>
                <w:sz w:val="24"/>
                <w:szCs w:val="24"/>
                <w:rtl/>
              </w:rPr>
              <w:t>תשע"ח</w:t>
            </w:r>
            <w:r w:rsidR="00127FFC" w:rsidRPr="00643EF4">
              <w:rPr>
                <w:rtl/>
              </w:rPr>
              <w:t xml:space="preserve"> </w:t>
            </w:r>
          </w:p>
        </w:tc>
        <w:tc>
          <w:tcPr>
            <w:tcW w:w="2694" w:type="dxa"/>
            <w:tcBorders>
              <w:top w:val="nil"/>
              <w:left w:val="nil"/>
              <w:bottom w:val="nil"/>
              <w:right w:val="nil"/>
            </w:tcBorders>
          </w:tcPr>
          <w:p w14:paraId="09C00312" w14:textId="77777777" w:rsidR="008C2F11" w:rsidRPr="00643EF4" w:rsidRDefault="004267A9" w:rsidP="005B1E2D">
            <w:pPr>
              <w:pStyle w:val="BodyRuller"/>
              <w:rPr>
                <w:sz w:val="24"/>
                <w:szCs w:val="24"/>
                <w:rtl/>
              </w:rPr>
            </w:pPr>
            <w:r w:rsidRPr="00643EF4">
              <w:t>(</w:t>
            </w:r>
            <w:r w:rsidR="005B1E2D" w:rsidRPr="00643EF4">
              <w:t>3</w:t>
            </w:r>
            <w:r w:rsidRPr="00643EF4">
              <w:t>.</w:t>
            </w:r>
            <w:r w:rsidR="005B1E2D" w:rsidRPr="00643EF4">
              <w:t>6</w:t>
            </w:r>
            <w:r w:rsidRPr="00643EF4">
              <w:t>.</w:t>
            </w:r>
            <w:r w:rsidR="005B1E2D" w:rsidRPr="00643EF4">
              <w:t>2018</w:t>
            </w:r>
            <w:r w:rsidRPr="00643EF4">
              <w:t>)</w:t>
            </w:r>
            <w:r w:rsidR="00200D6B" w:rsidRPr="00643EF4">
              <w:t xml:space="preserve"> </w:t>
            </w:r>
          </w:p>
        </w:tc>
      </w:tr>
    </w:tbl>
    <w:p w14:paraId="61FBFA84" w14:textId="77777777" w:rsidR="00916FF8" w:rsidRPr="00643EF4" w:rsidRDefault="00916FF8">
      <w:pPr>
        <w:pStyle w:val="Ruller3"/>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036227" w:rsidRPr="00643EF4" w14:paraId="3FCF8E06" w14:textId="77777777" w:rsidTr="008F2A9E">
        <w:tc>
          <w:tcPr>
            <w:tcW w:w="3210" w:type="dxa"/>
            <w:tcBorders>
              <w:top w:val="nil"/>
              <w:left w:val="nil"/>
              <w:bottom w:val="nil"/>
              <w:right w:val="nil"/>
            </w:tcBorders>
          </w:tcPr>
          <w:p w14:paraId="2AE762DA" w14:textId="77777777" w:rsidR="00036227" w:rsidRPr="00643EF4" w:rsidRDefault="004267A9">
            <w:pPr>
              <w:pStyle w:val="BodyRuller"/>
              <w:rPr>
                <w:rFonts w:ascii="David" w:hAnsi="David"/>
                <w:rtl/>
              </w:rPr>
            </w:pPr>
            <w:r w:rsidRPr="00643EF4">
              <w:rPr>
                <w:rFonts w:ascii="David" w:hAnsi="David"/>
                <w:rtl/>
              </w:rPr>
              <w:t>בשם העותרים</w:t>
            </w:r>
            <w:r w:rsidR="005B1E2D" w:rsidRPr="00643EF4">
              <w:rPr>
                <w:rFonts w:ascii="David" w:hAnsi="David" w:hint="cs"/>
                <w:rtl/>
              </w:rPr>
              <w:t xml:space="preserve"> בבג"ץ 1308/17</w:t>
            </w:r>
            <w:r w:rsidRPr="00643EF4">
              <w:rPr>
                <w:rFonts w:ascii="David" w:hAnsi="David"/>
                <w:rtl/>
              </w:rPr>
              <w:t>:</w:t>
            </w:r>
          </w:p>
          <w:p w14:paraId="1AC68F5E" w14:textId="5B0D5E4C" w:rsidR="008D1008" w:rsidRPr="00643EF4" w:rsidRDefault="008D1008">
            <w:pPr>
              <w:pStyle w:val="BodyRuller"/>
              <w:rPr>
                <w:rFonts w:ascii="David" w:hAnsi="David"/>
              </w:rPr>
            </w:pPr>
          </w:p>
        </w:tc>
        <w:tc>
          <w:tcPr>
            <w:tcW w:w="5153" w:type="dxa"/>
            <w:tcBorders>
              <w:top w:val="nil"/>
              <w:left w:val="nil"/>
              <w:bottom w:val="nil"/>
              <w:right w:val="nil"/>
            </w:tcBorders>
          </w:tcPr>
          <w:p w14:paraId="7D50C857" w14:textId="77777777" w:rsidR="000865B2" w:rsidRPr="00643EF4" w:rsidRDefault="000865B2">
            <w:pPr>
              <w:pStyle w:val="BodyRuller"/>
              <w:rPr>
                <w:rFonts w:ascii="David" w:hAnsi="David"/>
                <w:rtl/>
              </w:rPr>
            </w:pPr>
          </w:p>
          <w:p w14:paraId="4E76D4D3" w14:textId="7841546D" w:rsidR="00036227" w:rsidRPr="00643EF4" w:rsidRDefault="005B1E2D">
            <w:pPr>
              <w:pStyle w:val="BodyRuller"/>
              <w:rPr>
                <w:rFonts w:ascii="David" w:hAnsi="David"/>
              </w:rPr>
            </w:pPr>
            <w:r w:rsidRPr="00643EF4">
              <w:rPr>
                <w:rFonts w:ascii="David" w:hAnsi="David" w:hint="cs"/>
                <w:rtl/>
              </w:rPr>
              <w:t>עו"ד חסן ג'בארין; עו"ד סוהאד בשארה</w:t>
            </w:r>
          </w:p>
        </w:tc>
      </w:tr>
      <w:tr w:rsidR="004267A9" w:rsidRPr="00643EF4" w14:paraId="61947FE9" w14:textId="77777777" w:rsidTr="008F2A9E">
        <w:tc>
          <w:tcPr>
            <w:tcW w:w="3210" w:type="dxa"/>
            <w:tcBorders>
              <w:top w:val="nil"/>
              <w:left w:val="nil"/>
              <w:bottom w:val="nil"/>
              <w:right w:val="nil"/>
            </w:tcBorders>
          </w:tcPr>
          <w:p w14:paraId="18886130" w14:textId="77777777" w:rsidR="005B1E2D" w:rsidRPr="00643EF4" w:rsidRDefault="005B1E2D" w:rsidP="008F2A9E">
            <w:pPr>
              <w:pStyle w:val="BodyRuller"/>
              <w:rPr>
                <w:rFonts w:ascii="David" w:hAnsi="David"/>
                <w:rtl/>
              </w:rPr>
            </w:pPr>
            <w:r w:rsidRPr="00643EF4">
              <w:rPr>
                <w:rFonts w:ascii="David" w:hAnsi="David" w:hint="cs"/>
                <w:rtl/>
              </w:rPr>
              <w:t>בשם העותרים</w:t>
            </w:r>
          </w:p>
          <w:p w14:paraId="43051C38" w14:textId="77777777" w:rsidR="004267A9" w:rsidRPr="00643EF4" w:rsidRDefault="005B1E2D" w:rsidP="005B1E2D">
            <w:pPr>
              <w:pStyle w:val="BodyRuller"/>
              <w:rPr>
                <w:rFonts w:ascii="David" w:hAnsi="David"/>
              </w:rPr>
            </w:pPr>
            <w:r w:rsidRPr="00643EF4">
              <w:rPr>
                <w:rFonts w:ascii="David" w:hAnsi="David" w:hint="cs"/>
                <w:rtl/>
              </w:rPr>
              <w:t>בבג"ץ 2055/17:</w:t>
            </w:r>
          </w:p>
        </w:tc>
        <w:tc>
          <w:tcPr>
            <w:tcW w:w="5153" w:type="dxa"/>
            <w:tcBorders>
              <w:top w:val="nil"/>
              <w:left w:val="nil"/>
              <w:bottom w:val="nil"/>
              <w:right w:val="nil"/>
            </w:tcBorders>
          </w:tcPr>
          <w:p w14:paraId="1771F294" w14:textId="77777777" w:rsidR="000865B2" w:rsidRPr="00643EF4" w:rsidRDefault="000865B2">
            <w:pPr>
              <w:pStyle w:val="BodyRuller"/>
              <w:rPr>
                <w:rFonts w:ascii="David" w:hAnsi="David"/>
                <w:rtl/>
              </w:rPr>
            </w:pPr>
          </w:p>
          <w:p w14:paraId="2A5E598C" w14:textId="77777777" w:rsidR="00DE7E24" w:rsidRPr="00643EF4" w:rsidRDefault="005B1E2D">
            <w:pPr>
              <w:pStyle w:val="BodyRuller"/>
              <w:rPr>
                <w:rFonts w:ascii="David" w:hAnsi="David"/>
                <w:rtl/>
              </w:rPr>
            </w:pPr>
            <w:r w:rsidRPr="00643EF4">
              <w:rPr>
                <w:rFonts w:ascii="David" w:hAnsi="David" w:hint="cs"/>
                <w:rtl/>
              </w:rPr>
              <w:t xml:space="preserve">עו"ד דן יקיר; עו"ד מיכאל ספרד; </w:t>
            </w:r>
          </w:p>
          <w:p w14:paraId="36186982" w14:textId="009E16AC" w:rsidR="004267A9" w:rsidRPr="00643EF4" w:rsidRDefault="005B1E2D">
            <w:pPr>
              <w:pStyle w:val="BodyRuller"/>
              <w:rPr>
                <w:rFonts w:ascii="David" w:hAnsi="David"/>
                <w:rtl/>
              </w:rPr>
            </w:pPr>
            <w:r w:rsidRPr="00643EF4">
              <w:rPr>
                <w:rFonts w:ascii="David" w:hAnsi="David" w:hint="cs"/>
                <w:rtl/>
              </w:rPr>
              <w:t>עו"ד שלומי זכריה; עו"ד רוני פלי; עו"ד מיכל זיו</w:t>
            </w:r>
          </w:p>
        </w:tc>
      </w:tr>
      <w:tr w:rsidR="004267A9" w:rsidRPr="00643EF4" w14:paraId="152BD573" w14:textId="77777777" w:rsidTr="008F2A9E">
        <w:tc>
          <w:tcPr>
            <w:tcW w:w="3210" w:type="dxa"/>
            <w:tcBorders>
              <w:top w:val="nil"/>
              <w:left w:val="nil"/>
              <w:bottom w:val="nil"/>
              <w:right w:val="nil"/>
            </w:tcBorders>
          </w:tcPr>
          <w:p w14:paraId="18FBE5C3" w14:textId="77777777" w:rsidR="005B1E2D" w:rsidRPr="00643EF4" w:rsidRDefault="005B1E2D" w:rsidP="008F2A9E">
            <w:pPr>
              <w:pStyle w:val="BodyRuller"/>
              <w:rPr>
                <w:rFonts w:ascii="David" w:hAnsi="David"/>
                <w:rtl/>
              </w:rPr>
            </w:pPr>
            <w:r w:rsidRPr="00643EF4">
              <w:rPr>
                <w:rFonts w:ascii="David" w:hAnsi="David" w:hint="cs"/>
                <w:rtl/>
              </w:rPr>
              <w:t xml:space="preserve">בשם המשיבה 1 </w:t>
            </w:r>
          </w:p>
          <w:p w14:paraId="12AA34B2" w14:textId="77777777" w:rsidR="005B1E2D" w:rsidRPr="00643EF4" w:rsidRDefault="005B1E2D" w:rsidP="008F2A9E">
            <w:pPr>
              <w:pStyle w:val="BodyRuller"/>
              <w:rPr>
                <w:rFonts w:ascii="David" w:hAnsi="David"/>
                <w:rtl/>
              </w:rPr>
            </w:pPr>
            <w:r w:rsidRPr="00643EF4">
              <w:rPr>
                <w:rFonts w:ascii="David" w:hAnsi="David" w:hint="cs"/>
                <w:rtl/>
              </w:rPr>
              <w:t xml:space="preserve">בבג"ץ 1308/17 </w:t>
            </w:r>
          </w:p>
          <w:p w14:paraId="68DD4B37" w14:textId="77777777" w:rsidR="004267A9" w:rsidRPr="00643EF4" w:rsidRDefault="005B1E2D" w:rsidP="005B1E2D">
            <w:pPr>
              <w:pStyle w:val="BodyRuller"/>
              <w:rPr>
                <w:rFonts w:ascii="David" w:hAnsi="David"/>
                <w:rtl/>
              </w:rPr>
            </w:pPr>
            <w:r w:rsidRPr="00643EF4">
              <w:rPr>
                <w:rFonts w:ascii="David" w:hAnsi="David" w:hint="cs"/>
                <w:rtl/>
              </w:rPr>
              <w:t>ובבג"ץ 2055/17:</w:t>
            </w:r>
            <w:r w:rsidR="00127FFC" w:rsidRPr="00643EF4">
              <w:rPr>
                <w:rFonts w:ascii="David" w:hAnsi="David" w:hint="cs"/>
                <w:rtl/>
              </w:rPr>
              <w:t xml:space="preserve"> </w:t>
            </w:r>
          </w:p>
          <w:p w14:paraId="26B455C0" w14:textId="29F2F63D" w:rsidR="008D1008" w:rsidRPr="00643EF4" w:rsidRDefault="008D1008" w:rsidP="005B1E2D">
            <w:pPr>
              <w:pStyle w:val="BodyRuller"/>
              <w:rPr>
                <w:rFonts w:ascii="David" w:hAnsi="David"/>
              </w:rPr>
            </w:pPr>
          </w:p>
        </w:tc>
        <w:tc>
          <w:tcPr>
            <w:tcW w:w="5153" w:type="dxa"/>
            <w:tcBorders>
              <w:top w:val="nil"/>
              <w:left w:val="nil"/>
              <w:bottom w:val="nil"/>
              <w:right w:val="nil"/>
            </w:tcBorders>
          </w:tcPr>
          <w:p w14:paraId="494E31D7" w14:textId="77777777" w:rsidR="000865B2" w:rsidRPr="00643EF4" w:rsidRDefault="000865B2">
            <w:pPr>
              <w:pStyle w:val="BodyRuller"/>
              <w:rPr>
                <w:rFonts w:ascii="David" w:hAnsi="David"/>
                <w:rtl/>
              </w:rPr>
            </w:pPr>
          </w:p>
          <w:p w14:paraId="45F4E44F" w14:textId="77777777" w:rsidR="000865B2" w:rsidRPr="00643EF4" w:rsidRDefault="000865B2">
            <w:pPr>
              <w:pStyle w:val="BodyRuller"/>
              <w:rPr>
                <w:rFonts w:ascii="David" w:hAnsi="David"/>
                <w:rtl/>
              </w:rPr>
            </w:pPr>
          </w:p>
          <w:p w14:paraId="6F4A6C5B" w14:textId="4E3442D6" w:rsidR="004267A9" w:rsidRPr="00643EF4" w:rsidRDefault="008F2A9E">
            <w:pPr>
              <w:pStyle w:val="BodyRuller"/>
              <w:rPr>
                <w:rFonts w:ascii="David" w:hAnsi="David"/>
                <w:rtl/>
              </w:rPr>
            </w:pPr>
            <w:r w:rsidRPr="00643EF4">
              <w:rPr>
                <w:rFonts w:ascii="David" w:hAnsi="David" w:hint="cs"/>
                <w:rtl/>
              </w:rPr>
              <w:t>עו"ד איל ינון; עו"ד אביטל סומפולינסקי</w:t>
            </w:r>
          </w:p>
        </w:tc>
      </w:tr>
      <w:tr w:rsidR="004267A9" w:rsidRPr="00643EF4" w14:paraId="13EC8DD9" w14:textId="77777777" w:rsidTr="008F2A9E">
        <w:tc>
          <w:tcPr>
            <w:tcW w:w="3210" w:type="dxa"/>
            <w:tcBorders>
              <w:top w:val="nil"/>
              <w:left w:val="nil"/>
              <w:bottom w:val="nil"/>
              <w:right w:val="nil"/>
            </w:tcBorders>
          </w:tcPr>
          <w:p w14:paraId="4DA84FF4" w14:textId="77777777" w:rsidR="008F2A9E" w:rsidRPr="00643EF4" w:rsidRDefault="008F2A9E" w:rsidP="008F2A9E">
            <w:pPr>
              <w:pStyle w:val="BodyRuller"/>
              <w:rPr>
                <w:rFonts w:ascii="David" w:hAnsi="David"/>
                <w:rtl/>
              </w:rPr>
            </w:pPr>
            <w:r w:rsidRPr="00643EF4">
              <w:rPr>
                <w:rFonts w:ascii="David" w:hAnsi="David" w:hint="cs"/>
                <w:rtl/>
              </w:rPr>
              <w:t xml:space="preserve">בשם המשיב 2 </w:t>
            </w:r>
          </w:p>
          <w:p w14:paraId="4D101FCD" w14:textId="77777777" w:rsidR="008F2A9E" w:rsidRPr="00643EF4" w:rsidRDefault="008F2A9E" w:rsidP="008F2A9E">
            <w:pPr>
              <w:pStyle w:val="BodyRuller"/>
              <w:rPr>
                <w:rFonts w:ascii="David" w:hAnsi="David"/>
                <w:rtl/>
              </w:rPr>
            </w:pPr>
            <w:r w:rsidRPr="00643EF4">
              <w:rPr>
                <w:rFonts w:ascii="David" w:hAnsi="David" w:hint="cs"/>
                <w:rtl/>
              </w:rPr>
              <w:t>בבג"ץ 1308/17</w:t>
            </w:r>
          </w:p>
          <w:p w14:paraId="7EA0E558" w14:textId="77777777" w:rsidR="008F2A9E" w:rsidRPr="00643EF4" w:rsidRDefault="008F2A9E" w:rsidP="008F2A9E">
            <w:pPr>
              <w:pStyle w:val="BodyRuller"/>
              <w:rPr>
                <w:rFonts w:ascii="David" w:hAnsi="David"/>
                <w:rtl/>
              </w:rPr>
            </w:pPr>
            <w:r w:rsidRPr="00643EF4">
              <w:rPr>
                <w:rFonts w:ascii="David" w:hAnsi="David" w:hint="cs"/>
                <w:rtl/>
              </w:rPr>
              <w:t>והמשיבים 7-3</w:t>
            </w:r>
          </w:p>
          <w:p w14:paraId="38AC899F" w14:textId="77777777" w:rsidR="004267A9" w:rsidRPr="00643EF4" w:rsidRDefault="008F2A9E" w:rsidP="008F2A9E">
            <w:pPr>
              <w:pStyle w:val="BodyRuller"/>
              <w:rPr>
                <w:rFonts w:ascii="David" w:hAnsi="David"/>
                <w:rtl/>
              </w:rPr>
            </w:pPr>
            <w:r w:rsidRPr="00643EF4">
              <w:rPr>
                <w:rFonts w:ascii="David" w:hAnsi="David" w:hint="cs"/>
                <w:rtl/>
              </w:rPr>
              <w:t>בבג"ץ 2055/17:</w:t>
            </w:r>
          </w:p>
          <w:p w14:paraId="7D8B540E" w14:textId="5E27D1E8" w:rsidR="008D1008" w:rsidRPr="00643EF4" w:rsidRDefault="008D1008" w:rsidP="008F2A9E">
            <w:pPr>
              <w:pStyle w:val="BodyRuller"/>
              <w:rPr>
                <w:rFonts w:ascii="David" w:hAnsi="David"/>
              </w:rPr>
            </w:pPr>
          </w:p>
        </w:tc>
        <w:tc>
          <w:tcPr>
            <w:tcW w:w="5153" w:type="dxa"/>
            <w:tcBorders>
              <w:top w:val="nil"/>
              <w:left w:val="nil"/>
              <w:bottom w:val="nil"/>
              <w:right w:val="nil"/>
            </w:tcBorders>
          </w:tcPr>
          <w:p w14:paraId="3825BB00" w14:textId="77777777" w:rsidR="000865B2" w:rsidRPr="00643EF4" w:rsidRDefault="000865B2" w:rsidP="008F2A9E">
            <w:pPr>
              <w:pStyle w:val="BodyRuller"/>
              <w:rPr>
                <w:rFonts w:ascii="David" w:hAnsi="David"/>
                <w:rtl/>
              </w:rPr>
            </w:pPr>
          </w:p>
          <w:p w14:paraId="6A65D0D3" w14:textId="77777777" w:rsidR="000865B2" w:rsidRPr="00643EF4" w:rsidRDefault="000865B2" w:rsidP="008F2A9E">
            <w:pPr>
              <w:pStyle w:val="BodyRuller"/>
              <w:rPr>
                <w:rFonts w:ascii="David" w:hAnsi="David"/>
                <w:rtl/>
              </w:rPr>
            </w:pPr>
          </w:p>
          <w:p w14:paraId="019A4333" w14:textId="77777777" w:rsidR="000865B2" w:rsidRPr="00643EF4" w:rsidRDefault="000865B2" w:rsidP="008F2A9E">
            <w:pPr>
              <w:pStyle w:val="BodyRuller"/>
              <w:rPr>
                <w:rFonts w:ascii="David" w:hAnsi="David"/>
                <w:rtl/>
              </w:rPr>
            </w:pPr>
          </w:p>
          <w:p w14:paraId="48B2F1A1" w14:textId="21EC0BC0" w:rsidR="004267A9" w:rsidRPr="00643EF4" w:rsidRDefault="008F2A9E" w:rsidP="000865B2">
            <w:pPr>
              <w:pStyle w:val="BodyRuller"/>
              <w:rPr>
                <w:rFonts w:ascii="David" w:hAnsi="David"/>
                <w:rtl/>
              </w:rPr>
            </w:pPr>
            <w:r w:rsidRPr="00643EF4">
              <w:rPr>
                <w:rFonts w:ascii="David" w:hAnsi="David" w:hint="cs"/>
                <w:rtl/>
              </w:rPr>
              <w:t>עו"ד ענר הלמן; עו"ד יונתן ברמן</w:t>
            </w:r>
          </w:p>
        </w:tc>
      </w:tr>
      <w:tr w:rsidR="004267A9" w:rsidRPr="00643EF4" w14:paraId="5E91CCE3" w14:textId="77777777" w:rsidTr="008F2A9E">
        <w:tc>
          <w:tcPr>
            <w:tcW w:w="3210" w:type="dxa"/>
            <w:tcBorders>
              <w:top w:val="nil"/>
              <w:left w:val="nil"/>
              <w:bottom w:val="nil"/>
              <w:right w:val="nil"/>
            </w:tcBorders>
          </w:tcPr>
          <w:p w14:paraId="750A87EF" w14:textId="77777777" w:rsidR="008F2A9E" w:rsidRPr="00643EF4" w:rsidRDefault="008F2A9E" w:rsidP="008F2A9E">
            <w:pPr>
              <w:pStyle w:val="BodyRuller"/>
              <w:rPr>
                <w:rFonts w:ascii="David" w:hAnsi="David"/>
                <w:rtl/>
              </w:rPr>
            </w:pPr>
            <w:r w:rsidRPr="00643EF4">
              <w:rPr>
                <w:rFonts w:ascii="David" w:hAnsi="David" w:hint="cs"/>
                <w:rtl/>
              </w:rPr>
              <w:t>בשם המשיבה 3</w:t>
            </w:r>
          </w:p>
          <w:p w14:paraId="300DCE51" w14:textId="77777777" w:rsidR="008F2A9E" w:rsidRPr="00643EF4" w:rsidRDefault="008F2A9E" w:rsidP="008F2A9E">
            <w:pPr>
              <w:pStyle w:val="BodyRuller"/>
              <w:rPr>
                <w:rFonts w:ascii="David" w:hAnsi="David"/>
                <w:rtl/>
              </w:rPr>
            </w:pPr>
            <w:r w:rsidRPr="00643EF4">
              <w:rPr>
                <w:rFonts w:ascii="David" w:hAnsi="David" w:hint="cs"/>
                <w:rtl/>
              </w:rPr>
              <w:t>בבג"ץ 1308/17</w:t>
            </w:r>
          </w:p>
          <w:p w14:paraId="1CB0C1E2" w14:textId="1C7CD658" w:rsidR="008F2A9E" w:rsidRPr="00643EF4" w:rsidRDefault="00913017" w:rsidP="008F2A9E">
            <w:pPr>
              <w:pStyle w:val="BodyRuller"/>
              <w:rPr>
                <w:rFonts w:ascii="David" w:hAnsi="David"/>
                <w:rtl/>
              </w:rPr>
            </w:pPr>
            <w:r w:rsidRPr="00643EF4">
              <w:rPr>
                <w:rFonts w:ascii="David" w:hAnsi="David" w:hint="cs"/>
                <w:rtl/>
              </w:rPr>
              <w:t>והמשיבה 2</w:t>
            </w:r>
          </w:p>
          <w:p w14:paraId="451F0D5E" w14:textId="77777777" w:rsidR="004267A9" w:rsidRPr="00643EF4" w:rsidRDefault="008F2A9E" w:rsidP="008F2A9E">
            <w:pPr>
              <w:pStyle w:val="BodyRuller"/>
              <w:rPr>
                <w:rFonts w:ascii="David" w:hAnsi="David"/>
                <w:rtl/>
              </w:rPr>
            </w:pPr>
            <w:r w:rsidRPr="00643EF4">
              <w:rPr>
                <w:rFonts w:ascii="David" w:hAnsi="David" w:hint="cs"/>
                <w:rtl/>
              </w:rPr>
              <w:t>בבג"ץ 2055/17:</w:t>
            </w:r>
            <w:r w:rsidR="00127FFC" w:rsidRPr="00643EF4">
              <w:rPr>
                <w:rFonts w:ascii="David" w:hAnsi="David" w:hint="cs"/>
                <w:rtl/>
              </w:rPr>
              <w:t xml:space="preserve"> </w:t>
            </w:r>
          </w:p>
          <w:p w14:paraId="440AC761" w14:textId="69BAFA3E" w:rsidR="008D1008" w:rsidRPr="00643EF4" w:rsidRDefault="008D1008" w:rsidP="008F2A9E">
            <w:pPr>
              <w:pStyle w:val="BodyRuller"/>
              <w:rPr>
                <w:rFonts w:ascii="David" w:hAnsi="David"/>
              </w:rPr>
            </w:pPr>
          </w:p>
        </w:tc>
        <w:tc>
          <w:tcPr>
            <w:tcW w:w="5153" w:type="dxa"/>
            <w:tcBorders>
              <w:top w:val="nil"/>
              <w:left w:val="nil"/>
              <w:bottom w:val="nil"/>
              <w:right w:val="nil"/>
            </w:tcBorders>
          </w:tcPr>
          <w:p w14:paraId="73C0BDFA" w14:textId="77777777" w:rsidR="000865B2" w:rsidRPr="00643EF4" w:rsidRDefault="000865B2">
            <w:pPr>
              <w:pStyle w:val="BodyRuller"/>
              <w:rPr>
                <w:rFonts w:ascii="David" w:hAnsi="David"/>
                <w:rtl/>
              </w:rPr>
            </w:pPr>
          </w:p>
          <w:p w14:paraId="1F2771EA" w14:textId="77777777" w:rsidR="000865B2" w:rsidRPr="00643EF4" w:rsidRDefault="000865B2">
            <w:pPr>
              <w:pStyle w:val="BodyRuller"/>
              <w:rPr>
                <w:rFonts w:ascii="David" w:hAnsi="David"/>
                <w:rtl/>
              </w:rPr>
            </w:pPr>
          </w:p>
          <w:p w14:paraId="7F23DBD1" w14:textId="77777777" w:rsidR="000865B2" w:rsidRPr="00643EF4" w:rsidRDefault="000865B2">
            <w:pPr>
              <w:pStyle w:val="BodyRuller"/>
              <w:rPr>
                <w:rFonts w:ascii="David" w:hAnsi="David"/>
                <w:rtl/>
              </w:rPr>
            </w:pPr>
          </w:p>
          <w:p w14:paraId="6C8FAAA1" w14:textId="156C8480" w:rsidR="004267A9" w:rsidRPr="00643EF4" w:rsidRDefault="008F2A9E">
            <w:pPr>
              <w:pStyle w:val="BodyRuller"/>
              <w:rPr>
                <w:rFonts w:ascii="David" w:hAnsi="David"/>
                <w:rtl/>
              </w:rPr>
            </w:pPr>
            <w:r w:rsidRPr="00643EF4">
              <w:rPr>
                <w:rFonts w:ascii="David" w:hAnsi="David" w:hint="cs"/>
                <w:rtl/>
              </w:rPr>
              <w:t>עו"ד ד"ר הראל ארנון</w:t>
            </w:r>
          </w:p>
        </w:tc>
      </w:tr>
      <w:tr w:rsidR="004267A9" w:rsidRPr="00643EF4" w14:paraId="59A08E95" w14:textId="77777777" w:rsidTr="008F2A9E">
        <w:tc>
          <w:tcPr>
            <w:tcW w:w="3210" w:type="dxa"/>
            <w:tcBorders>
              <w:top w:val="nil"/>
              <w:left w:val="nil"/>
              <w:bottom w:val="nil"/>
              <w:right w:val="nil"/>
            </w:tcBorders>
          </w:tcPr>
          <w:p w14:paraId="1A6DF79C" w14:textId="77777777" w:rsidR="008F2A9E" w:rsidRPr="00643EF4" w:rsidRDefault="008F2A9E" w:rsidP="008F2A9E">
            <w:pPr>
              <w:pStyle w:val="BodyRuller"/>
              <w:rPr>
                <w:rFonts w:ascii="David" w:hAnsi="David"/>
                <w:rtl/>
              </w:rPr>
            </w:pPr>
            <w:r w:rsidRPr="00643EF4">
              <w:rPr>
                <w:rFonts w:ascii="David" w:hAnsi="David" w:hint="cs"/>
                <w:rtl/>
              </w:rPr>
              <w:t xml:space="preserve">בשם המשיבה </w:t>
            </w:r>
          </w:p>
          <w:p w14:paraId="07C0D8AB" w14:textId="77777777" w:rsidR="008F2A9E" w:rsidRPr="00643EF4" w:rsidRDefault="008F2A9E" w:rsidP="008F2A9E">
            <w:pPr>
              <w:pStyle w:val="BodyRuller"/>
              <w:rPr>
                <w:rFonts w:ascii="David" w:hAnsi="David"/>
                <w:rtl/>
              </w:rPr>
            </w:pPr>
            <w:r w:rsidRPr="00643EF4">
              <w:rPr>
                <w:rFonts w:ascii="David" w:hAnsi="David" w:hint="cs"/>
                <w:rtl/>
              </w:rPr>
              <w:t>4 בבג"ץ 1308/17</w:t>
            </w:r>
            <w:r w:rsidRPr="00643EF4">
              <w:rPr>
                <w:rFonts w:ascii="David" w:hAnsi="David" w:hint="cs"/>
                <w:rtl/>
              </w:rPr>
              <w:tab/>
            </w:r>
          </w:p>
          <w:p w14:paraId="0C44C60E" w14:textId="77777777" w:rsidR="008F2A9E" w:rsidRPr="00643EF4" w:rsidRDefault="008F2A9E" w:rsidP="008F2A9E">
            <w:pPr>
              <w:pStyle w:val="BodyRuller"/>
              <w:rPr>
                <w:rFonts w:ascii="David" w:hAnsi="David"/>
                <w:rtl/>
              </w:rPr>
            </w:pPr>
            <w:r w:rsidRPr="00643EF4">
              <w:rPr>
                <w:rFonts w:ascii="David" w:hAnsi="David" w:hint="cs"/>
                <w:rtl/>
              </w:rPr>
              <w:t xml:space="preserve">והמשיבה 8 </w:t>
            </w:r>
          </w:p>
          <w:p w14:paraId="01391B7A" w14:textId="77777777" w:rsidR="004267A9" w:rsidRPr="00643EF4" w:rsidRDefault="008F2A9E" w:rsidP="008F2A9E">
            <w:pPr>
              <w:pStyle w:val="BodyRuller"/>
              <w:rPr>
                <w:rFonts w:ascii="David" w:hAnsi="David"/>
                <w:rtl/>
              </w:rPr>
            </w:pPr>
            <w:r w:rsidRPr="00643EF4">
              <w:rPr>
                <w:rFonts w:ascii="David" w:hAnsi="David" w:hint="cs"/>
                <w:rtl/>
              </w:rPr>
              <w:t>בבג"ץ 2055/17:</w:t>
            </w:r>
          </w:p>
          <w:p w14:paraId="456EC7D3" w14:textId="74913207" w:rsidR="008D1008" w:rsidRPr="00643EF4" w:rsidRDefault="008D1008" w:rsidP="008F2A9E">
            <w:pPr>
              <w:pStyle w:val="BodyRuller"/>
              <w:rPr>
                <w:rFonts w:ascii="David" w:hAnsi="David"/>
              </w:rPr>
            </w:pPr>
          </w:p>
        </w:tc>
        <w:tc>
          <w:tcPr>
            <w:tcW w:w="5153" w:type="dxa"/>
            <w:tcBorders>
              <w:top w:val="nil"/>
              <w:left w:val="nil"/>
              <w:bottom w:val="nil"/>
              <w:right w:val="nil"/>
            </w:tcBorders>
          </w:tcPr>
          <w:p w14:paraId="3C40985D" w14:textId="77777777" w:rsidR="000865B2" w:rsidRPr="00643EF4" w:rsidRDefault="000865B2">
            <w:pPr>
              <w:pStyle w:val="BodyRuller"/>
              <w:rPr>
                <w:rFonts w:ascii="David" w:hAnsi="David"/>
                <w:rtl/>
              </w:rPr>
            </w:pPr>
          </w:p>
          <w:p w14:paraId="41EA3C96" w14:textId="77777777" w:rsidR="000865B2" w:rsidRPr="00643EF4" w:rsidRDefault="000865B2">
            <w:pPr>
              <w:pStyle w:val="BodyRuller"/>
              <w:rPr>
                <w:rFonts w:ascii="David" w:hAnsi="David"/>
                <w:rtl/>
              </w:rPr>
            </w:pPr>
          </w:p>
          <w:p w14:paraId="44F1CA56" w14:textId="77777777" w:rsidR="000865B2" w:rsidRPr="00643EF4" w:rsidRDefault="000865B2">
            <w:pPr>
              <w:pStyle w:val="BodyRuller"/>
              <w:rPr>
                <w:rFonts w:ascii="David" w:hAnsi="David"/>
                <w:rtl/>
              </w:rPr>
            </w:pPr>
          </w:p>
          <w:p w14:paraId="45F4C118" w14:textId="65FD63FD" w:rsidR="004267A9" w:rsidRPr="00643EF4" w:rsidRDefault="008F2A9E">
            <w:pPr>
              <w:pStyle w:val="BodyRuller"/>
              <w:rPr>
                <w:rFonts w:ascii="David" w:hAnsi="David"/>
                <w:rtl/>
              </w:rPr>
            </w:pPr>
            <w:r w:rsidRPr="00643EF4">
              <w:rPr>
                <w:rFonts w:ascii="David" w:hAnsi="David" w:hint="cs"/>
                <w:rtl/>
              </w:rPr>
              <w:t>עו"ד שמחה דן רוטמן</w:t>
            </w:r>
          </w:p>
        </w:tc>
      </w:tr>
      <w:tr w:rsidR="004267A9" w:rsidRPr="00643EF4" w14:paraId="756E7A9B" w14:textId="77777777" w:rsidTr="008F2A9E">
        <w:tc>
          <w:tcPr>
            <w:tcW w:w="3210" w:type="dxa"/>
            <w:tcBorders>
              <w:top w:val="nil"/>
              <w:left w:val="nil"/>
              <w:bottom w:val="nil"/>
              <w:right w:val="nil"/>
            </w:tcBorders>
          </w:tcPr>
          <w:p w14:paraId="7F8AD44C" w14:textId="77777777" w:rsidR="008F2A9E" w:rsidRPr="00643EF4" w:rsidRDefault="008F2A9E" w:rsidP="008F2A9E">
            <w:pPr>
              <w:pStyle w:val="BodyRuller"/>
              <w:rPr>
                <w:rFonts w:ascii="David" w:hAnsi="David"/>
                <w:rtl/>
              </w:rPr>
            </w:pPr>
            <w:r w:rsidRPr="00643EF4">
              <w:rPr>
                <w:rFonts w:ascii="David" w:hAnsi="David" w:hint="cs"/>
                <w:rtl/>
              </w:rPr>
              <w:t xml:space="preserve">בשם המבקשים </w:t>
            </w:r>
          </w:p>
          <w:p w14:paraId="0BFF7693" w14:textId="77777777" w:rsidR="008F2A9E" w:rsidRPr="00643EF4" w:rsidRDefault="008F2A9E" w:rsidP="008F2A9E">
            <w:pPr>
              <w:pStyle w:val="BodyRuller"/>
              <w:rPr>
                <w:rFonts w:ascii="David" w:hAnsi="David"/>
                <w:rtl/>
              </w:rPr>
            </w:pPr>
            <w:r w:rsidRPr="00643EF4">
              <w:rPr>
                <w:rFonts w:ascii="David" w:hAnsi="David" w:hint="cs"/>
                <w:rtl/>
              </w:rPr>
              <w:t xml:space="preserve">להצטרף </w:t>
            </w:r>
          </w:p>
          <w:p w14:paraId="03256662" w14:textId="77777777" w:rsidR="004267A9" w:rsidRPr="00643EF4" w:rsidRDefault="008F2A9E" w:rsidP="008F2A9E">
            <w:pPr>
              <w:pStyle w:val="BodyRuller"/>
              <w:rPr>
                <w:rFonts w:ascii="David" w:hAnsi="David"/>
                <w:rtl/>
              </w:rPr>
            </w:pPr>
            <w:r w:rsidRPr="00643EF4">
              <w:rPr>
                <w:rFonts w:ascii="David" w:hAnsi="David" w:hint="cs"/>
                <w:rtl/>
              </w:rPr>
              <w:t>לבג"ץ 1308/17:</w:t>
            </w:r>
            <w:r w:rsidR="00127FFC" w:rsidRPr="00643EF4">
              <w:rPr>
                <w:rFonts w:ascii="David" w:hAnsi="David" w:hint="cs"/>
                <w:rtl/>
              </w:rPr>
              <w:t xml:space="preserve"> </w:t>
            </w:r>
          </w:p>
          <w:p w14:paraId="6274AEC1" w14:textId="65D3A31C" w:rsidR="008D1008" w:rsidRPr="00643EF4" w:rsidRDefault="008D1008" w:rsidP="008F2A9E">
            <w:pPr>
              <w:pStyle w:val="BodyRuller"/>
              <w:rPr>
                <w:rFonts w:ascii="David" w:hAnsi="David"/>
              </w:rPr>
            </w:pPr>
          </w:p>
        </w:tc>
        <w:tc>
          <w:tcPr>
            <w:tcW w:w="5153" w:type="dxa"/>
            <w:tcBorders>
              <w:top w:val="nil"/>
              <w:left w:val="nil"/>
              <w:bottom w:val="nil"/>
              <w:right w:val="nil"/>
            </w:tcBorders>
          </w:tcPr>
          <w:p w14:paraId="13C574DE" w14:textId="77777777" w:rsidR="000865B2" w:rsidRPr="00643EF4" w:rsidRDefault="000865B2">
            <w:pPr>
              <w:pStyle w:val="BodyRuller"/>
              <w:rPr>
                <w:rFonts w:ascii="David" w:hAnsi="David"/>
                <w:rtl/>
              </w:rPr>
            </w:pPr>
          </w:p>
          <w:p w14:paraId="7C90CCED" w14:textId="77777777" w:rsidR="000865B2" w:rsidRPr="00643EF4" w:rsidRDefault="000865B2">
            <w:pPr>
              <w:pStyle w:val="BodyRuller"/>
              <w:rPr>
                <w:rFonts w:ascii="David" w:hAnsi="David"/>
                <w:rtl/>
              </w:rPr>
            </w:pPr>
          </w:p>
          <w:p w14:paraId="31611BA6" w14:textId="731B6223" w:rsidR="004267A9" w:rsidRPr="00643EF4" w:rsidRDefault="008F2A9E">
            <w:pPr>
              <w:pStyle w:val="BodyRuller"/>
              <w:rPr>
                <w:rFonts w:ascii="David" w:hAnsi="David"/>
                <w:rtl/>
              </w:rPr>
            </w:pPr>
            <w:r w:rsidRPr="00643EF4">
              <w:rPr>
                <w:rFonts w:ascii="David" w:hAnsi="David" w:hint="cs"/>
                <w:rtl/>
              </w:rPr>
              <w:t>עו"ד סוריא בשארה</w:t>
            </w:r>
          </w:p>
        </w:tc>
      </w:tr>
      <w:tr w:rsidR="004267A9" w:rsidRPr="00643EF4" w14:paraId="35F2CD5C" w14:textId="77777777" w:rsidTr="008F2A9E">
        <w:tc>
          <w:tcPr>
            <w:tcW w:w="3210" w:type="dxa"/>
            <w:tcBorders>
              <w:top w:val="nil"/>
              <w:left w:val="nil"/>
              <w:bottom w:val="nil"/>
              <w:right w:val="nil"/>
            </w:tcBorders>
          </w:tcPr>
          <w:p w14:paraId="2A627B34" w14:textId="77777777" w:rsidR="008F2A9E" w:rsidRPr="00643EF4" w:rsidRDefault="008F2A9E" w:rsidP="008F2A9E">
            <w:pPr>
              <w:pStyle w:val="BodyRuller"/>
              <w:rPr>
                <w:rFonts w:ascii="David" w:hAnsi="David"/>
                <w:rtl/>
              </w:rPr>
            </w:pPr>
            <w:r w:rsidRPr="00643EF4">
              <w:rPr>
                <w:rFonts w:ascii="David" w:hAnsi="David" w:hint="cs"/>
                <w:rtl/>
              </w:rPr>
              <w:t xml:space="preserve">בשם המבקש </w:t>
            </w:r>
          </w:p>
          <w:p w14:paraId="1F1D4D23" w14:textId="77777777" w:rsidR="008F2A9E" w:rsidRPr="00643EF4" w:rsidRDefault="008F2A9E" w:rsidP="008F2A9E">
            <w:pPr>
              <w:pStyle w:val="BodyRuller"/>
              <w:rPr>
                <w:rFonts w:ascii="David" w:hAnsi="David"/>
                <w:rtl/>
              </w:rPr>
            </w:pPr>
            <w:r w:rsidRPr="00643EF4">
              <w:rPr>
                <w:rFonts w:ascii="David" w:hAnsi="David" w:hint="cs"/>
                <w:rtl/>
              </w:rPr>
              <w:t xml:space="preserve">להצטרף </w:t>
            </w:r>
          </w:p>
          <w:p w14:paraId="422509FC" w14:textId="77777777" w:rsidR="008F2A9E" w:rsidRPr="00643EF4" w:rsidRDefault="008F2A9E" w:rsidP="008F2A9E">
            <w:pPr>
              <w:pStyle w:val="BodyRuller"/>
              <w:rPr>
                <w:rFonts w:ascii="David" w:hAnsi="David"/>
                <w:rtl/>
              </w:rPr>
            </w:pPr>
            <w:r w:rsidRPr="00643EF4">
              <w:rPr>
                <w:rFonts w:ascii="David" w:hAnsi="David" w:hint="cs"/>
                <w:rtl/>
              </w:rPr>
              <w:t>לבג"ץ 1308/17</w:t>
            </w:r>
          </w:p>
          <w:p w14:paraId="21FCF352" w14:textId="7358A493" w:rsidR="004267A9" w:rsidRPr="00643EF4" w:rsidRDefault="008F2A9E" w:rsidP="008F2A9E">
            <w:pPr>
              <w:pStyle w:val="BodyRuller"/>
              <w:rPr>
                <w:rFonts w:ascii="David" w:hAnsi="David"/>
              </w:rPr>
            </w:pPr>
            <w:r w:rsidRPr="00643EF4">
              <w:rPr>
                <w:rFonts w:ascii="David" w:hAnsi="David" w:hint="cs"/>
                <w:rtl/>
              </w:rPr>
              <w:t>ולבג"ץ 2055/17:</w:t>
            </w:r>
            <w:r w:rsidR="00127FFC" w:rsidRPr="00643EF4">
              <w:rPr>
                <w:rFonts w:ascii="David" w:hAnsi="David" w:hint="cs"/>
                <w:rtl/>
              </w:rPr>
              <w:t xml:space="preserve"> </w:t>
            </w:r>
          </w:p>
        </w:tc>
        <w:tc>
          <w:tcPr>
            <w:tcW w:w="5153" w:type="dxa"/>
            <w:tcBorders>
              <w:top w:val="nil"/>
              <w:left w:val="nil"/>
              <w:bottom w:val="nil"/>
              <w:right w:val="nil"/>
            </w:tcBorders>
          </w:tcPr>
          <w:p w14:paraId="6B2093C3" w14:textId="77777777" w:rsidR="000865B2" w:rsidRPr="00643EF4" w:rsidRDefault="000865B2" w:rsidP="008F2A9E">
            <w:pPr>
              <w:pStyle w:val="BodyRuller"/>
              <w:rPr>
                <w:rFonts w:ascii="David" w:hAnsi="David"/>
                <w:rtl/>
              </w:rPr>
            </w:pPr>
          </w:p>
          <w:p w14:paraId="60890B97" w14:textId="77777777" w:rsidR="000865B2" w:rsidRPr="00643EF4" w:rsidRDefault="000865B2" w:rsidP="008F2A9E">
            <w:pPr>
              <w:pStyle w:val="BodyRuller"/>
              <w:rPr>
                <w:rFonts w:ascii="David" w:hAnsi="David"/>
                <w:rtl/>
              </w:rPr>
            </w:pPr>
          </w:p>
          <w:p w14:paraId="146EA86D" w14:textId="77777777" w:rsidR="000865B2" w:rsidRPr="00643EF4" w:rsidRDefault="000865B2" w:rsidP="008F2A9E">
            <w:pPr>
              <w:pStyle w:val="BodyRuller"/>
              <w:rPr>
                <w:rFonts w:ascii="David" w:hAnsi="David"/>
                <w:rtl/>
              </w:rPr>
            </w:pPr>
          </w:p>
          <w:p w14:paraId="000F646A" w14:textId="607F7314" w:rsidR="008F2A9E" w:rsidRPr="00643EF4" w:rsidRDefault="008F2A9E" w:rsidP="008F2A9E">
            <w:pPr>
              <w:pStyle w:val="BodyRuller"/>
              <w:rPr>
                <w:rFonts w:ascii="David" w:hAnsi="David"/>
                <w:rtl/>
              </w:rPr>
            </w:pPr>
            <w:r w:rsidRPr="00643EF4">
              <w:rPr>
                <w:rFonts w:ascii="David" w:hAnsi="David" w:hint="cs"/>
                <w:rtl/>
              </w:rPr>
              <w:t>בעצמו</w:t>
            </w:r>
          </w:p>
          <w:p w14:paraId="698BDEE4" w14:textId="77777777" w:rsidR="004267A9" w:rsidRPr="00643EF4" w:rsidRDefault="004267A9">
            <w:pPr>
              <w:pStyle w:val="BodyRuller"/>
              <w:rPr>
                <w:rFonts w:ascii="David" w:hAnsi="David"/>
                <w:rtl/>
              </w:rPr>
            </w:pPr>
          </w:p>
        </w:tc>
      </w:tr>
    </w:tbl>
    <w:p w14:paraId="3EBD258D" w14:textId="77777777" w:rsidR="00916FF8" w:rsidRPr="00643EF4" w:rsidRDefault="00916FF8">
      <w:pPr>
        <w:tabs>
          <w:tab w:val="left" w:pos="2552"/>
        </w:tabs>
      </w:pPr>
    </w:p>
    <w:tbl>
      <w:tblPr>
        <w:bidiVisual/>
        <w:tblW w:w="8363" w:type="dxa"/>
        <w:tblLook w:val="0000" w:firstRow="0" w:lastRow="0" w:firstColumn="0" w:lastColumn="0" w:noHBand="0" w:noVBand="0"/>
      </w:tblPr>
      <w:tblGrid>
        <w:gridCol w:w="8363"/>
      </w:tblGrid>
      <w:tr w:rsidR="00036227" w:rsidRPr="00643EF4" w14:paraId="05457EED" w14:textId="77777777" w:rsidTr="00D00B1D">
        <w:tc>
          <w:tcPr>
            <w:tcW w:w="9837" w:type="dxa"/>
          </w:tcPr>
          <w:p w14:paraId="795677F9" w14:textId="77777777" w:rsidR="00916FF8" w:rsidRPr="00643EF4" w:rsidRDefault="004267A9">
            <w:pPr>
              <w:pStyle w:val="DocumentHead"/>
            </w:pPr>
            <w:bookmarkStart w:id="1" w:name="secretary"/>
            <w:bookmarkStart w:id="2" w:name="BeginProtocol"/>
            <w:bookmarkEnd w:id="1"/>
            <w:bookmarkEnd w:id="2"/>
            <w:r w:rsidRPr="00643EF4">
              <w:rPr>
                <w:rtl/>
              </w:rPr>
              <w:t>פסק-דין</w:t>
            </w:r>
          </w:p>
        </w:tc>
      </w:tr>
    </w:tbl>
    <w:p w14:paraId="5622FA20" w14:textId="77777777" w:rsidR="0065522F" w:rsidRPr="00643EF4" w:rsidRDefault="0065522F">
      <w:pPr>
        <w:pStyle w:val="BODYVERDICT"/>
      </w:pPr>
    </w:p>
    <w:p w14:paraId="16E28807" w14:textId="77777777" w:rsidR="00916FF8" w:rsidRPr="00643EF4" w:rsidRDefault="004267A9">
      <w:pPr>
        <w:pStyle w:val="BODYVERDICT"/>
        <w:rPr>
          <w:rFonts w:cs="Miriam"/>
          <w:sz w:val="24"/>
          <w:szCs w:val="24"/>
          <w:u w:val="single"/>
          <w:rtl/>
        </w:rPr>
      </w:pPr>
      <w:bookmarkStart w:id="3" w:name="Writer_Name"/>
      <w:bookmarkEnd w:id="3"/>
      <w:r w:rsidRPr="00643EF4">
        <w:rPr>
          <w:rFonts w:cs="Miriam"/>
          <w:sz w:val="24"/>
          <w:szCs w:val="24"/>
          <w:u w:val="single"/>
          <w:rtl/>
        </w:rPr>
        <w:lastRenderedPageBreak/>
        <w:t>הנשיאה א' חיות</w:t>
      </w:r>
      <w:r w:rsidRPr="00643EF4">
        <w:rPr>
          <w:rFonts w:cs="Miriam"/>
          <w:sz w:val="24"/>
          <w:szCs w:val="24"/>
          <w:rtl/>
        </w:rPr>
        <w:t>:</w:t>
      </w:r>
    </w:p>
    <w:p w14:paraId="44CFF07A" w14:textId="79F427DB" w:rsidR="000E5D20" w:rsidRPr="00643EF4" w:rsidRDefault="00B75449" w:rsidP="00F811AE">
      <w:pPr>
        <w:pStyle w:val="Ruller41"/>
        <w:rPr>
          <w:rFonts w:ascii="Century" w:hAnsi="Century"/>
          <w:rtl/>
        </w:rPr>
      </w:pPr>
      <w:bookmarkStart w:id="4" w:name="Start_Write"/>
      <w:bookmarkEnd w:id="4"/>
      <w:r w:rsidRPr="00643EF4">
        <w:rPr>
          <w:rFonts w:ascii="Century" w:hAnsi="Century" w:hint="cs"/>
          <w:rtl/>
        </w:rPr>
        <w:tab/>
      </w:r>
    </w:p>
    <w:p w14:paraId="784955C1"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פתח דבר</w:t>
      </w:r>
    </w:p>
    <w:p w14:paraId="306BBA5C" w14:textId="77777777" w:rsidR="000E5D20" w:rsidRPr="00643EF4" w:rsidRDefault="000E5D20" w:rsidP="000E5D20">
      <w:pPr>
        <w:pStyle w:val="Ruller41"/>
        <w:rPr>
          <w:rFonts w:ascii="Century" w:hAnsi="Century"/>
          <w:sz w:val="14"/>
          <w:szCs w:val="20"/>
          <w:rtl/>
        </w:rPr>
      </w:pPr>
    </w:p>
    <w:p w14:paraId="2FD92EF8" w14:textId="3A7800A4" w:rsidR="000E5D20" w:rsidRPr="00643EF4" w:rsidRDefault="000E5D20" w:rsidP="00F13CC1">
      <w:pPr>
        <w:pStyle w:val="Ruller4"/>
        <w:tabs>
          <w:tab w:val="num" w:pos="10307"/>
        </w:tabs>
      </w:pPr>
      <w:r w:rsidRPr="00643EF4">
        <w:rPr>
          <w:rFonts w:hint="cs"/>
          <w:rtl/>
        </w:rPr>
        <w:t xml:space="preserve">בחודש יוני 1967, במהלך מלחמת ששת הימים, נכנסו </w:t>
      </w:r>
      <w:r w:rsidRPr="00643EF4">
        <w:rPr>
          <w:rFonts w:ascii="Century" w:hAnsi="Century" w:hint="cs"/>
          <w:rtl/>
        </w:rPr>
        <w:t xml:space="preserve">כוחות צה"ל לשטחי יהודה ושומרון (להלן: </w:t>
      </w:r>
      <w:r w:rsidRPr="00643EF4">
        <w:rPr>
          <w:rFonts w:ascii="Century" w:hAnsi="Century" w:cs="Miriam" w:hint="cs"/>
          <w:b/>
          <w:spacing w:val="0"/>
          <w:sz w:val="22"/>
          <w:szCs w:val="24"/>
          <w:rtl/>
        </w:rPr>
        <w:t>האזור</w:t>
      </w:r>
      <w:r w:rsidRPr="00643EF4">
        <w:rPr>
          <w:rFonts w:ascii="Century" w:hAnsi="Century" w:hint="cs"/>
          <w:sz w:val="22"/>
          <w:rtl/>
        </w:rPr>
        <w:t>)</w:t>
      </w:r>
      <w:r w:rsidRPr="00643EF4">
        <w:rPr>
          <w:rFonts w:hint="cs"/>
          <w:rtl/>
        </w:rPr>
        <w:t xml:space="preserve">. בעשרות השנים שחלפו מאז הוקמה באזור זה התיישבות ישראלית ענפה. בסוף שנת 2017 נאמד מספר המתיישבים הישראלים החיים באזור בכ- 405,000 (שנתון סטטיסטי לישראל 2018, מס' 69 לוח מס' 2.15). לאורך השנים היו הרשויות הישראליות מעורבות במידה כזו או אחרת בהקמת היישובים הישראליים באזור, לרבות בדרך של העמדת תקציבים לצורך כך. חלק מן ההתיישבות באזור </w:t>
      </w:r>
      <w:r w:rsidRPr="00643EF4">
        <w:rPr>
          <w:rtl/>
        </w:rPr>
        <w:t>–</w:t>
      </w:r>
      <w:r w:rsidRPr="00643EF4">
        <w:rPr>
          <w:rFonts w:hint="cs"/>
          <w:rtl/>
        </w:rPr>
        <w:t xml:space="preserve"> בו עוסקות העתירות דנן </w:t>
      </w:r>
      <w:r w:rsidRPr="00643EF4">
        <w:rPr>
          <w:rtl/>
        </w:rPr>
        <w:t>–</w:t>
      </w:r>
      <w:r w:rsidRPr="00643EF4">
        <w:rPr>
          <w:rFonts w:hint="cs"/>
          <w:rtl/>
        </w:rPr>
        <w:t xml:space="preserve"> הוקם </w:t>
      </w:r>
      <w:r w:rsidR="00F13CC1" w:rsidRPr="00643EF4">
        <w:rPr>
          <w:rFonts w:hint="cs"/>
          <w:rtl/>
        </w:rPr>
        <w:t>שלא כדין</w:t>
      </w:r>
      <w:r w:rsidRPr="00643EF4">
        <w:rPr>
          <w:rFonts w:hint="cs"/>
          <w:rtl/>
        </w:rPr>
        <w:t xml:space="preserve"> על מקרקעין שלא נועדו לכך, ובמקרים מסוימים על מקרקעין פרטיים שיש להם בעלים פלסטינים. על רקע זה אישרה מליאת הכנסת ביום 6.2.2017 בקריאה שנייה ושלישית את החוק להסדרת ההתיישבות ביהודה והשומרון, התשע"ז-2017 (להלן: </w:t>
      </w:r>
      <w:r w:rsidRPr="00643EF4">
        <w:rPr>
          <w:rFonts w:cs="Miriam" w:hint="cs"/>
          <w:b/>
          <w:spacing w:val="0"/>
          <w:szCs w:val="24"/>
          <w:rtl/>
        </w:rPr>
        <w:t>חוק ההסדרה</w:t>
      </w:r>
      <w:r w:rsidRPr="00643EF4">
        <w:rPr>
          <w:rFonts w:hint="cs"/>
          <w:rtl/>
        </w:rPr>
        <w:t xml:space="preserve"> או </w:t>
      </w:r>
      <w:r w:rsidRPr="00643EF4">
        <w:rPr>
          <w:rFonts w:cs="Miriam" w:hint="cs"/>
          <w:b/>
          <w:spacing w:val="0"/>
          <w:szCs w:val="24"/>
          <w:rtl/>
        </w:rPr>
        <w:t>החוק</w:t>
      </w:r>
      <w:r w:rsidRPr="00643EF4">
        <w:rPr>
          <w:rFonts w:hint="cs"/>
          <w:rtl/>
        </w:rPr>
        <w:t xml:space="preserve">). החוק נועד להסדיר חלקים נרחבים מההתיישבות הישראלית האמורה באזור. בתמצית יאמר כי החוק קובע מנגנון להסדרת </w:t>
      </w:r>
      <w:r w:rsidR="00176AF4" w:rsidRPr="00643EF4">
        <w:rPr>
          <w:rFonts w:hint="cs"/>
          <w:rtl/>
        </w:rPr>
        <w:t>בנייה בלתי חוקית</w:t>
      </w:r>
      <w:r w:rsidRPr="00643EF4">
        <w:rPr>
          <w:rFonts w:hint="cs"/>
          <w:rtl/>
        </w:rPr>
        <w:t xml:space="preserve"> בהתקיים </w:t>
      </w:r>
      <w:r w:rsidR="00176AF4" w:rsidRPr="00643EF4">
        <w:rPr>
          <w:rFonts w:hint="cs"/>
          <w:rtl/>
        </w:rPr>
        <w:t>התנאים</w:t>
      </w:r>
      <w:r w:rsidRPr="00643EF4">
        <w:rPr>
          <w:rFonts w:hint="cs"/>
          <w:rtl/>
        </w:rPr>
        <w:t xml:space="preserve"> המפורטים בו, </w:t>
      </w:r>
      <w:r w:rsidRPr="00643EF4">
        <w:rPr>
          <w:rFonts w:hint="cs"/>
          <w:sz w:val="22"/>
          <w:rtl/>
        </w:rPr>
        <w:t xml:space="preserve">ולפיו יוקצו זכויות השימוש והחזקה במקרקעין </w:t>
      </w:r>
      <w:r w:rsidRPr="00643EF4">
        <w:rPr>
          <w:rtl/>
        </w:rPr>
        <w:t>–</w:t>
      </w:r>
      <w:r w:rsidRPr="00643EF4">
        <w:rPr>
          <w:rFonts w:hint="cs"/>
          <w:rtl/>
        </w:rPr>
        <w:t xml:space="preserve"> לרבות מקרקעין שיש בהם בעלי זכויות פלסטינים </w:t>
      </w:r>
      <w:r w:rsidRPr="00643EF4">
        <w:rPr>
          <w:rtl/>
        </w:rPr>
        <w:t>–</w:t>
      </w:r>
      <w:r w:rsidR="00735F17" w:rsidRPr="00643EF4">
        <w:rPr>
          <w:rFonts w:hint="cs"/>
          <w:rtl/>
        </w:rPr>
        <w:t xml:space="preserve"> </w:t>
      </w:r>
      <w:r w:rsidRPr="00643EF4">
        <w:rPr>
          <w:rFonts w:hint="cs"/>
          <w:sz w:val="22"/>
          <w:rtl/>
        </w:rPr>
        <w:t xml:space="preserve">לצורכי ההתיישבות שנבנתה עליהם. זאת, </w:t>
      </w:r>
      <w:r w:rsidRPr="00643EF4">
        <w:rPr>
          <w:sz w:val="22"/>
          <w:rtl/>
        </w:rPr>
        <w:t>כ</w:t>
      </w:r>
      <w:r w:rsidRPr="00643EF4">
        <w:rPr>
          <w:rFonts w:hint="cs"/>
          <w:sz w:val="22"/>
          <w:rtl/>
        </w:rPr>
        <w:t>כ</w:t>
      </w:r>
      <w:r w:rsidRPr="00643EF4">
        <w:rPr>
          <w:sz w:val="22"/>
          <w:rtl/>
        </w:rPr>
        <w:t xml:space="preserve">ל </w:t>
      </w:r>
      <w:r w:rsidRPr="00643EF4">
        <w:rPr>
          <w:rFonts w:hint="cs"/>
          <w:sz w:val="22"/>
          <w:rtl/>
        </w:rPr>
        <w:t xml:space="preserve">שהבנייה במקרקעין נעשתה בתום לב או </w:t>
      </w:r>
      <w:r w:rsidRPr="00643EF4">
        <w:rPr>
          <w:sz w:val="22"/>
          <w:rtl/>
        </w:rPr>
        <w:t>ב</w:t>
      </w:r>
      <w:r w:rsidRPr="00643EF4">
        <w:rPr>
          <w:rFonts w:hint="cs"/>
          <w:sz w:val="22"/>
          <w:rtl/>
        </w:rPr>
        <w:t>"</w:t>
      </w:r>
      <w:r w:rsidRPr="00643EF4">
        <w:rPr>
          <w:sz w:val="22"/>
          <w:rtl/>
        </w:rPr>
        <w:t>הסכמ</w:t>
      </w:r>
      <w:r w:rsidRPr="00643EF4">
        <w:rPr>
          <w:rFonts w:hint="cs"/>
          <w:sz w:val="22"/>
          <w:rtl/>
        </w:rPr>
        <w:t>ת המדינה", כהגדרתה של תיבה זו בסעיף 2 לחוק</w:t>
      </w:r>
      <w:r w:rsidRPr="00643EF4">
        <w:rPr>
          <w:sz w:val="22"/>
          <w:rtl/>
        </w:rPr>
        <w:t>.</w:t>
      </w:r>
      <w:r w:rsidRPr="00643EF4">
        <w:rPr>
          <w:rFonts w:hint="cs"/>
          <w:rtl/>
        </w:rPr>
        <w:t xml:space="preserve"> </w:t>
      </w:r>
    </w:p>
    <w:p w14:paraId="39EBA7E0" w14:textId="77777777" w:rsidR="000E5D20" w:rsidRPr="00643EF4" w:rsidRDefault="000E5D20" w:rsidP="000E5D20">
      <w:pPr>
        <w:pStyle w:val="Ruller4"/>
        <w:numPr>
          <w:ilvl w:val="0"/>
          <w:numId w:val="0"/>
        </w:numPr>
      </w:pPr>
    </w:p>
    <w:p w14:paraId="209416AA" w14:textId="77777777" w:rsidR="000E5D20" w:rsidRPr="00643EF4" w:rsidRDefault="000E5D20" w:rsidP="000E5D20">
      <w:pPr>
        <w:pStyle w:val="Ruller4"/>
        <w:numPr>
          <w:ilvl w:val="0"/>
          <w:numId w:val="0"/>
        </w:numPr>
        <w:rPr>
          <w:rtl/>
        </w:rPr>
      </w:pPr>
      <w:r w:rsidRPr="00643EF4">
        <w:rPr>
          <w:rtl/>
        </w:rPr>
        <w:tab/>
      </w:r>
      <w:r w:rsidRPr="00643EF4">
        <w:rPr>
          <w:rFonts w:hint="cs"/>
          <w:rtl/>
        </w:rPr>
        <w:t xml:space="preserve">בעתירות דנן, שהוגשו על ידי תושבים פלסטינים, ראשי מועצות כפרים פלסטינים, רשויות מקומיות פלסטיניות, ארגוני חברה אזרחית ועמותות בישראל, טוענים העותרים כי הכנסת לא הייתה מוסמכת לחוקק את חוק ההסדרה ולהתקין את ההסדרים הקבועים בו אשר לטענתם אינם חוקתיים ואינם עולים בקנה אחד עם כללי המשפט הבינלאומי. </w:t>
      </w:r>
    </w:p>
    <w:p w14:paraId="6C364CE0" w14:textId="77777777" w:rsidR="000E5D20" w:rsidRPr="00643EF4" w:rsidRDefault="000E5D20" w:rsidP="000E5D20">
      <w:pPr>
        <w:pStyle w:val="Ruller41"/>
        <w:rPr>
          <w:rtl/>
        </w:rPr>
      </w:pPr>
    </w:p>
    <w:p w14:paraId="7A301466"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מסגרת נורמטיבית ורקע כללי</w:t>
      </w:r>
    </w:p>
    <w:p w14:paraId="218B83F8" w14:textId="77777777" w:rsidR="000E5D20" w:rsidRPr="00643EF4" w:rsidRDefault="000E5D20" w:rsidP="000E5D20">
      <w:pPr>
        <w:pStyle w:val="Ruller41"/>
        <w:rPr>
          <w:rFonts w:ascii="Century" w:hAnsi="Century" w:cs="Miriam"/>
          <w:b/>
          <w:spacing w:val="0"/>
          <w:szCs w:val="24"/>
          <w:rtl/>
        </w:rPr>
      </w:pPr>
    </w:p>
    <w:p w14:paraId="00527EC4" w14:textId="77777777" w:rsidR="000E5D20" w:rsidRPr="00643EF4" w:rsidRDefault="000E5D20" w:rsidP="000E5D20">
      <w:pPr>
        <w:pStyle w:val="Ruller41"/>
        <w:rPr>
          <w:rFonts w:ascii="Century" w:hAnsi="Century" w:cs="Miriam"/>
          <w:b/>
          <w:spacing w:val="0"/>
          <w:szCs w:val="24"/>
        </w:rPr>
      </w:pPr>
      <w:r w:rsidRPr="00643EF4">
        <w:rPr>
          <w:rFonts w:ascii="Century" w:hAnsi="Century" w:cs="Miriam" w:hint="cs"/>
          <w:b/>
          <w:spacing w:val="0"/>
          <w:szCs w:val="24"/>
          <w:rtl/>
        </w:rPr>
        <w:t>הדין החל באזור</w:t>
      </w:r>
    </w:p>
    <w:p w14:paraId="77D5C51F" w14:textId="77777777" w:rsidR="000E5D20" w:rsidRPr="00643EF4" w:rsidRDefault="000E5D20" w:rsidP="000E5D20">
      <w:pPr>
        <w:pStyle w:val="Ruller4"/>
        <w:numPr>
          <w:ilvl w:val="0"/>
          <w:numId w:val="0"/>
        </w:numPr>
      </w:pPr>
    </w:p>
    <w:p w14:paraId="5EF81EA3" w14:textId="63D70ABD" w:rsidR="000E5D20" w:rsidRPr="00643EF4" w:rsidRDefault="000E5D20" w:rsidP="000E5D20">
      <w:pPr>
        <w:pStyle w:val="Ruller4"/>
        <w:tabs>
          <w:tab w:val="num" w:pos="10307"/>
        </w:tabs>
      </w:pPr>
      <w:r w:rsidRPr="00643EF4">
        <w:rPr>
          <w:rFonts w:hint="cs"/>
          <w:rtl/>
        </w:rPr>
        <w:t>מאז כניסת צה"ל לאזור ועד היום ממשלת ישראל לא הפעילה את סמכותה הקבועה בפקודת סדרי השלטון והמשפט, התש"ח-1948 להחיל את המשפט, השיפוט והמינהל של המדינה על שטחי האזור</w:t>
      </w:r>
      <w:r w:rsidR="001103CD" w:rsidRPr="00643EF4">
        <w:rPr>
          <w:rFonts w:hint="cs"/>
          <w:rtl/>
        </w:rPr>
        <w:t>,</w:t>
      </w:r>
      <w:r w:rsidRPr="00643EF4">
        <w:rPr>
          <w:rFonts w:hint="cs"/>
          <w:rtl/>
        </w:rPr>
        <w:t xml:space="preserve"> ושר הביטחון לא הוציא מנשר המגדיר את השטחים הנ"ל ככאלה המוחזקים על ידי צה"ל לפי פקודת שטח השיפוט והסמכויות, התש"ח-1948 (בג"ץ 390/79 </w:t>
      </w:r>
      <w:r w:rsidRPr="00643EF4">
        <w:rPr>
          <w:rFonts w:cs="Miriam" w:hint="cs"/>
          <w:b/>
          <w:spacing w:val="0"/>
          <w:szCs w:val="24"/>
          <w:rtl/>
        </w:rPr>
        <w:t>דויקאת נ' ממשלת ישראל</w:t>
      </w:r>
      <w:r w:rsidRPr="00643EF4">
        <w:rPr>
          <w:rFonts w:hint="cs"/>
          <w:rtl/>
        </w:rPr>
        <w:t xml:space="preserve">, פ"ד לד(1) 1 (1979) (להלן: עניין </w:t>
      </w:r>
      <w:r w:rsidRPr="00643EF4">
        <w:rPr>
          <w:rFonts w:cs="Miriam" w:hint="cs"/>
          <w:b/>
          <w:spacing w:val="0"/>
          <w:szCs w:val="24"/>
          <w:rtl/>
        </w:rPr>
        <w:t>דויקאת</w:t>
      </w:r>
      <w:r w:rsidRPr="00643EF4">
        <w:rPr>
          <w:rFonts w:hint="cs"/>
          <w:rtl/>
        </w:rPr>
        <w:t xml:space="preserve">); בג"ץ 2612/94 </w:t>
      </w:r>
      <w:r w:rsidRPr="00643EF4">
        <w:rPr>
          <w:rFonts w:cs="Miriam" w:hint="cs"/>
          <w:b/>
          <w:spacing w:val="0"/>
          <w:szCs w:val="24"/>
          <w:rtl/>
        </w:rPr>
        <w:t>שעאר נ' מפקד כוחות צה"ל באזור יהודה ושומרון</w:t>
      </w:r>
      <w:r w:rsidRPr="00643EF4">
        <w:rPr>
          <w:rFonts w:hint="cs"/>
          <w:rtl/>
        </w:rPr>
        <w:t xml:space="preserve">, פ"ד מח(3) 675, 681 (1994) (להלן: עניין </w:t>
      </w:r>
      <w:r w:rsidRPr="00643EF4">
        <w:rPr>
          <w:rFonts w:cs="Miriam" w:hint="cs"/>
          <w:b/>
          <w:spacing w:val="0"/>
          <w:szCs w:val="24"/>
          <w:rtl/>
        </w:rPr>
        <w:t>שעאר</w:t>
      </w:r>
      <w:r w:rsidRPr="00643EF4">
        <w:rPr>
          <w:rFonts w:hint="cs"/>
          <w:rtl/>
        </w:rPr>
        <w:t xml:space="preserve">); בג"ץ 1661/05 </w:t>
      </w:r>
      <w:r w:rsidRPr="00643EF4">
        <w:rPr>
          <w:rFonts w:cs="Miriam" w:hint="cs"/>
          <w:b/>
          <w:spacing w:val="0"/>
          <w:szCs w:val="24"/>
          <w:rtl/>
        </w:rPr>
        <w:t xml:space="preserve">המועצה האזורית חוף עזה </w:t>
      </w:r>
      <w:r w:rsidRPr="00643EF4">
        <w:rPr>
          <w:rFonts w:cs="Miriam" w:hint="cs"/>
          <w:b/>
          <w:spacing w:val="0"/>
          <w:szCs w:val="24"/>
          <w:rtl/>
        </w:rPr>
        <w:lastRenderedPageBreak/>
        <w:t>נ' כנסת ישראל</w:t>
      </w:r>
      <w:r w:rsidRPr="00643EF4">
        <w:rPr>
          <w:rFonts w:hint="cs"/>
          <w:rtl/>
        </w:rPr>
        <w:t xml:space="preserve">, פ"ד נט(2) 481, 514 (2005) (להלן: עניין </w:t>
      </w:r>
      <w:r w:rsidRPr="00643EF4">
        <w:rPr>
          <w:rFonts w:cs="Miriam" w:hint="cs"/>
          <w:b/>
          <w:spacing w:val="0"/>
          <w:szCs w:val="24"/>
          <w:rtl/>
        </w:rPr>
        <w:t>חוף עזה</w:t>
      </w:r>
      <w:r w:rsidRPr="00643EF4">
        <w:rPr>
          <w:rFonts w:hint="cs"/>
          <w:rtl/>
        </w:rPr>
        <w:t xml:space="preserve">)). המשמעות המעשית של הדבר היא כי משפט מדינת ישראל אינו חל באזור, ומערכת המשפט החלה בו מאז חודש יוני 1967 היא זו הקבועה בדיני ה"תפיסה לוחמתית" </w:t>
      </w:r>
      <w:r w:rsidRPr="00643EF4">
        <w:rPr>
          <w:rtl/>
        </w:rPr>
        <w:t>–</w:t>
      </w:r>
      <w:r w:rsidRPr="00643EF4">
        <w:rPr>
          <w:rFonts w:hint="cs"/>
          <w:rtl/>
        </w:rPr>
        <w:t xml:space="preserve"> </w:t>
      </w:r>
      <w:r w:rsidRPr="00643EF4">
        <w:rPr>
          <w:rFonts w:ascii="Century" w:hAnsi="Century" w:cs="Times New Roman"/>
          <w:sz w:val="22"/>
          <w:szCs w:val="22"/>
        </w:rPr>
        <w:t>Belligerent Occupation</w:t>
      </w:r>
      <w:r w:rsidRPr="00643EF4">
        <w:rPr>
          <w:rFonts w:hint="cs"/>
          <w:rtl/>
        </w:rPr>
        <w:t xml:space="preserve">, כפי שהדבר השתקף בעמדתן העקבית של ממשלות ישראל לדורותיהן ובפסיקתו של בית משפט זה (ראו, בין רבים: עניין </w:t>
      </w:r>
      <w:r w:rsidRPr="00643EF4">
        <w:rPr>
          <w:rFonts w:cs="Miriam" w:hint="cs"/>
          <w:b/>
          <w:spacing w:val="0"/>
          <w:szCs w:val="24"/>
          <w:rtl/>
        </w:rPr>
        <w:t>דויקאת</w:t>
      </w:r>
      <w:r w:rsidRPr="00643EF4">
        <w:rPr>
          <w:rFonts w:hint="cs"/>
          <w:rtl/>
        </w:rPr>
        <w:t xml:space="preserve">, בעמ' 13; בג"ץ 69/81 </w:t>
      </w:r>
      <w:r w:rsidRPr="00643EF4">
        <w:rPr>
          <w:rFonts w:cs="Miriam" w:hint="cs"/>
          <w:b/>
          <w:spacing w:val="0"/>
          <w:szCs w:val="24"/>
          <w:rtl/>
        </w:rPr>
        <w:t>אבו עיטה נ' מפקד אזור יהודה ושומרון</w:t>
      </w:r>
      <w:r w:rsidRPr="00643EF4">
        <w:rPr>
          <w:rFonts w:hint="cs"/>
          <w:rtl/>
        </w:rPr>
        <w:t xml:space="preserve">, פ"ד לז(2) 197, 228 (1983) (להלן: עניין </w:t>
      </w:r>
      <w:r w:rsidRPr="00643EF4">
        <w:rPr>
          <w:rFonts w:cs="Miriam" w:hint="cs"/>
          <w:b/>
          <w:spacing w:val="0"/>
          <w:szCs w:val="24"/>
          <w:rtl/>
        </w:rPr>
        <w:t>אבו עיטה</w:t>
      </w:r>
      <w:r w:rsidRPr="00643EF4">
        <w:rPr>
          <w:rFonts w:hint="cs"/>
          <w:rtl/>
        </w:rPr>
        <w:t>)</w:t>
      </w:r>
      <w:r w:rsidRPr="00643EF4">
        <w:rPr>
          <w:rFonts w:hint="cs"/>
          <w:b/>
          <w:bCs/>
          <w:rtl/>
        </w:rPr>
        <w:t>;</w:t>
      </w:r>
      <w:r w:rsidRPr="00643EF4">
        <w:rPr>
          <w:rFonts w:hint="cs"/>
          <w:rtl/>
        </w:rPr>
        <w:t xml:space="preserve"> עניין </w:t>
      </w:r>
      <w:r w:rsidRPr="00643EF4">
        <w:rPr>
          <w:rFonts w:cs="Miriam" w:hint="cs"/>
          <w:b/>
          <w:spacing w:val="0"/>
          <w:szCs w:val="24"/>
          <w:rtl/>
        </w:rPr>
        <w:t>שעאר</w:t>
      </w:r>
      <w:r w:rsidRPr="00643EF4">
        <w:rPr>
          <w:rFonts w:hint="cs"/>
          <w:rtl/>
        </w:rPr>
        <w:t xml:space="preserve">, בעמ' 681; עניין </w:t>
      </w:r>
      <w:r w:rsidRPr="00643EF4">
        <w:rPr>
          <w:rFonts w:cs="Miriam" w:hint="cs"/>
          <w:b/>
          <w:spacing w:val="0"/>
          <w:szCs w:val="24"/>
          <w:rtl/>
        </w:rPr>
        <w:t>חוף עזה</w:t>
      </w:r>
      <w:r w:rsidRPr="00643EF4">
        <w:rPr>
          <w:rFonts w:hint="cs"/>
          <w:rtl/>
        </w:rPr>
        <w:t>, בעמ' 514 ו-559-558</w:t>
      </w:r>
      <w:r w:rsidRPr="00643EF4">
        <w:rPr>
          <w:rFonts w:ascii="Century" w:hAnsi="Century" w:hint="cs"/>
          <w:sz w:val="22"/>
          <w:rtl/>
        </w:rPr>
        <w:t>;</w:t>
      </w:r>
      <w:r w:rsidRPr="00643EF4">
        <w:rPr>
          <w:rFonts w:hint="cs"/>
          <w:rtl/>
        </w:rPr>
        <w:t xml:space="preserve"> </w:t>
      </w:r>
      <w:r w:rsidRPr="00643EF4">
        <w:rPr>
          <w:rFonts w:ascii="Century" w:hAnsi="Century" w:hint="cs"/>
          <w:sz w:val="22"/>
          <w:rtl/>
        </w:rPr>
        <w:t xml:space="preserve">בג"ץ 393/82 </w:t>
      </w:r>
      <w:r w:rsidRPr="00643EF4">
        <w:rPr>
          <w:rFonts w:ascii="Century" w:hAnsi="Century" w:cs="Miriam" w:hint="cs"/>
          <w:b/>
          <w:spacing w:val="0"/>
          <w:sz w:val="22"/>
          <w:szCs w:val="24"/>
          <w:rtl/>
        </w:rPr>
        <w:t>ג'מעית אסכאן נ' מפקד כוחות צה"ל באזור יהודה והשומרון</w:t>
      </w:r>
      <w:r w:rsidRPr="00643EF4">
        <w:rPr>
          <w:rFonts w:ascii="Century" w:hAnsi="Century" w:hint="cs"/>
          <w:sz w:val="22"/>
          <w:rtl/>
        </w:rPr>
        <w:t xml:space="preserve">, פ"ד לז(4) 785, 792 (1983) (להלן: עניין </w:t>
      </w:r>
      <w:r w:rsidRPr="00643EF4">
        <w:rPr>
          <w:rFonts w:ascii="Century" w:hAnsi="Century" w:cs="Miriam" w:hint="cs"/>
          <w:b/>
          <w:spacing w:val="0"/>
          <w:sz w:val="22"/>
          <w:szCs w:val="24"/>
          <w:rtl/>
        </w:rPr>
        <w:t>ג'מעית אסכאן</w:t>
      </w:r>
      <w:r w:rsidRPr="00643EF4">
        <w:rPr>
          <w:rFonts w:hint="cs"/>
          <w:rtl/>
        </w:rPr>
        <w:t xml:space="preserve">); בג"ץ 7957/04 </w:t>
      </w:r>
      <w:r w:rsidRPr="00643EF4">
        <w:rPr>
          <w:rFonts w:ascii="Century" w:hAnsi="Century" w:cs="Miriam" w:hint="cs"/>
          <w:b/>
          <w:spacing w:val="0"/>
          <w:sz w:val="22"/>
          <w:szCs w:val="24"/>
          <w:rtl/>
        </w:rPr>
        <w:t>מראעבה נ' ראש ממשלת ישראל</w:t>
      </w:r>
      <w:r w:rsidRPr="00643EF4">
        <w:rPr>
          <w:rFonts w:hint="cs"/>
          <w:rtl/>
        </w:rPr>
        <w:t xml:space="preserve">, פ"ד ס(2) 477, 492 (2005) (להלן: עניין </w:t>
      </w:r>
      <w:r w:rsidRPr="00643EF4">
        <w:rPr>
          <w:rFonts w:ascii="Century" w:hAnsi="Century" w:cs="Miriam" w:hint="cs"/>
          <w:b/>
          <w:spacing w:val="0"/>
          <w:sz w:val="22"/>
          <w:szCs w:val="24"/>
          <w:rtl/>
        </w:rPr>
        <w:t>מראעבה</w:t>
      </w:r>
      <w:r w:rsidRPr="00643EF4">
        <w:rPr>
          <w:rFonts w:ascii="Century" w:hAnsi="Century" w:hint="cs"/>
          <w:sz w:val="22"/>
          <w:rtl/>
        </w:rPr>
        <w:t>)</w:t>
      </w:r>
      <w:r w:rsidRPr="00643EF4">
        <w:rPr>
          <w:rFonts w:hint="cs"/>
          <w:rtl/>
        </w:rPr>
        <w:t xml:space="preserve">; בג"ץ 794/17 </w:t>
      </w:r>
      <w:r w:rsidRPr="00643EF4">
        <w:rPr>
          <w:rFonts w:ascii="Century" w:hAnsi="Century" w:cs="Miriam" w:hint="cs"/>
          <w:b/>
          <w:spacing w:val="0"/>
          <w:sz w:val="22"/>
          <w:szCs w:val="24"/>
          <w:rtl/>
        </w:rPr>
        <w:t>זיאדה נ' מפקד כוחות צה"ל בגדה המערבית</w:t>
      </w:r>
      <w:r w:rsidRPr="00643EF4">
        <w:rPr>
          <w:rFonts w:hint="cs"/>
          <w:rtl/>
        </w:rPr>
        <w:t xml:space="preserve">, פסקה 20 לחוות הדעת של המשנה לנשיאה (בדימ'), </w:t>
      </w:r>
      <w:r w:rsidRPr="00643EF4">
        <w:rPr>
          <w:rFonts w:ascii="Century" w:hAnsi="Century" w:hint="cs"/>
          <w:sz w:val="22"/>
          <w:rtl/>
        </w:rPr>
        <w:t xml:space="preserve">השופט </w:t>
      </w:r>
      <w:r w:rsidRPr="00643EF4">
        <w:rPr>
          <w:rFonts w:ascii="Century" w:hAnsi="Century" w:cs="Miriam" w:hint="cs"/>
          <w:b/>
          <w:spacing w:val="0"/>
          <w:sz w:val="22"/>
          <w:szCs w:val="24"/>
          <w:rtl/>
        </w:rPr>
        <w:t xml:space="preserve">ס' ג'ובראן </w:t>
      </w:r>
      <w:r w:rsidRPr="00643EF4">
        <w:rPr>
          <w:rFonts w:hint="cs"/>
          <w:rtl/>
        </w:rPr>
        <w:t xml:space="preserve">(31.10.2017) (להלן: עניין </w:t>
      </w:r>
      <w:r w:rsidRPr="00643EF4">
        <w:rPr>
          <w:rFonts w:ascii="Century" w:hAnsi="Century" w:cs="Miriam" w:hint="cs"/>
          <w:b/>
          <w:spacing w:val="0"/>
          <w:sz w:val="22"/>
          <w:szCs w:val="24"/>
          <w:rtl/>
        </w:rPr>
        <w:t>זיאדה</w:t>
      </w:r>
      <w:r w:rsidRPr="00643EF4">
        <w:rPr>
          <w:rFonts w:ascii="Century" w:hAnsi="Century" w:hint="cs"/>
          <w:sz w:val="22"/>
          <w:rtl/>
        </w:rPr>
        <w:t xml:space="preserve">). </w:t>
      </w:r>
      <w:r w:rsidRPr="00643EF4">
        <w:rPr>
          <w:rFonts w:hint="cs"/>
          <w:rtl/>
        </w:rPr>
        <w:t xml:space="preserve">בקשה לקיים דיון נוסף נדחתה בדנג"ץ 9367/17 </w:t>
      </w:r>
      <w:r w:rsidRPr="00643EF4">
        <w:rPr>
          <w:rFonts w:ascii="Century" w:hAnsi="Century" w:cs="Miriam" w:hint="cs"/>
          <w:b/>
          <w:spacing w:val="0"/>
          <w:sz w:val="22"/>
          <w:szCs w:val="24"/>
          <w:rtl/>
        </w:rPr>
        <w:t>זיאדה נ' מפקד כוחות הצבא בגדה המערבית</w:t>
      </w:r>
      <w:r w:rsidRPr="00643EF4">
        <w:rPr>
          <w:rFonts w:ascii="Century" w:hAnsi="Century" w:hint="cs"/>
          <w:sz w:val="22"/>
          <w:rtl/>
        </w:rPr>
        <w:t xml:space="preserve"> (30.5.2018) (להלן: </w:t>
      </w:r>
      <w:r w:rsidRPr="00643EF4">
        <w:rPr>
          <w:rFonts w:ascii="Century" w:hAnsi="Century" w:cs="Miriam" w:hint="cs"/>
          <w:b/>
          <w:spacing w:val="0"/>
          <w:sz w:val="22"/>
          <w:szCs w:val="24"/>
          <w:rtl/>
        </w:rPr>
        <w:t>דנג"ץ זיאדה</w:t>
      </w:r>
      <w:r w:rsidRPr="00643EF4">
        <w:rPr>
          <w:rFonts w:ascii="Century" w:hAnsi="Century" w:hint="cs"/>
          <w:sz w:val="22"/>
          <w:rtl/>
        </w:rPr>
        <w:t xml:space="preserve">); השוו הראל ארנון "ישראל ביהודה ושומרון: היבטים מן המשפט הבינלאומי" </w:t>
      </w:r>
      <w:r w:rsidRPr="00643EF4">
        <w:rPr>
          <w:rFonts w:ascii="Century" w:hAnsi="Century" w:cs="Miriam" w:hint="cs"/>
          <w:b/>
          <w:spacing w:val="0"/>
          <w:sz w:val="22"/>
          <w:szCs w:val="24"/>
          <w:rtl/>
        </w:rPr>
        <w:t>דיני מקרקעין והמשפט הבינלאומי ביהודה ושומרון</w:t>
      </w:r>
      <w:r w:rsidRPr="00643EF4">
        <w:rPr>
          <w:rFonts w:ascii="Century" w:hAnsi="Century" w:hint="cs"/>
          <w:sz w:val="22"/>
          <w:rtl/>
        </w:rPr>
        <w:t xml:space="preserve"> 77, 90-83 (2013)</w:t>
      </w:r>
      <w:r w:rsidR="00643EF4">
        <w:rPr>
          <w:rFonts w:ascii="Century" w:hAnsi="Century" w:hint="cs"/>
          <w:sz w:val="22"/>
          <w:rtl/>
        </w:rPr>
        <w:t>)</w:t>
      </w:r>
      <w:r w:rsidRPr="00643EF4">
        <w:rPr>
          <w:rFonts w:ascii="Century" w:hAnsi="Century" w:hint="cs"/>
          <w:sz w:val="22"/>
          <w:rtl/>
        </w:rPr>
        <w:t xml:space="preserve">. </w:t>
      </w:r>
    </w:p>
    <w:p w14:paraId="6FBC3C7D" w14:textId="77777777" w:rsidR="000E5D20" w:rsidRPr="00643EF4" w:rsidRDefault="000E5D20" w:rsidP="000E5D20">
      <w:pPr>
        <w:pStyle w:val="Ruller4"/>
        <w:numPr>
          <w:ilvl w:val="0"/>
          <w:numId w:val="0"/>
        </w:numPr>
      </w:pPr>
    </w:p>
    <w:p w14:paraId="2369691E" w14:textId="77777777" w:rsidR="000E5D20" w:rsidRPr="00643EF4" w:rsidRDefault="000E5D20" w:rsidP="000E5D20">
      <w:pPr>
        <w:pStyle w:val="Ruller4"/>
        <w:numPr>
          <w:ilvl w:val="0"/>
          <w:numId w:val="0"/>
        </w:numPr>
        <w:rPr>
          <w:rtl/>
        </w:rPr>
      </w:pPr>
      <w:r w:rsidRPr="00643EF4">
        <w:rPr>
          <w:rFonts w:ascii="Century" w:hAnsi="Century"/>
          <w:sz w:val="22"/>
          <w:rtl/>
        </w:rPr>
        <w:tab/>
      </w:r>
      <w:r w:rsidRPr="00643EF4">
        <w:rPr>
          <w:rFonts w:ascii="Century" w:hAnsi="Century" w:hint="cs"/>
          <w:sz w:val="22"/>
          <w:rtl/>
        </w:rPr>
        <w:t xml:space="preserve">בהתאם לתפיסה משפטית זו הוקם </w:t>
      </w:r>
      <w:r w:rsidRPr="00643EF4">
        <w:rPr>
          <w:rFonts w:ascii="Century" w:hAnsi="Century" w:hint="cs"/>
          <w:rtl/>
        </w:rPr>
        <w:t xml:space="preserve">באזור ממשל צבאי שבראשו עומד מפקד צבאי (עניין </w:t>
      </w:r>
      <w:r w:rsidRPr="00643EF4">
        <w:rPr>
          <w:rFonts w:ascii="Century" w:hAnsi="Century" w:cs="Miriam" w:hint="cs"/>
          <w:b/>
          <w:spacing w:val="0"/>
          <w:sz w:val="22"/>
          <w:szCs w:val="24"/>
          <w:rtl/>
        </w:rPr>
        <w:t>ג'מעית אסכאן</w:t>
      </w:r>
      <w:r w:rsidRPr="00643EF4">
        <w:rPr>
          <w:rFonts w:ascii="Century" w:hAnsi="Century" w:hint="cs"/>
          <w:sz w:val="22"/>
          <w:rtl/>
        </w:rPr>
        <w:t xml:space="preserve">, בעמ' 792). במאמר שכתב התייחס </w:t>
      </w:r>
      <w:r w:rsidRPr="00643EF4">
        <w:rPr>
          <w:rFonts w:ascii="Century" w:hAnsi="Century" w:cs="Miriam" w:hint="cs"/>
          <w:b/>
          <w:spacing w:val="0"/>
          <w:sz w:val="22"/>
          <w:szCs w:val="24"/>
          <w:rtl/>
        </w:rPr>
        <w:t>מ' שמגר</w:t>
      </w:r>
      <w:r w:rsidRPr="00643EF4">
        <w:rPr>
          <w:rFonts w:ascii="Century" w:hAnsi="Century" w:hint="cs"/>
          <w:sz w:val="22"/>
          <w:rtl/>
        </w:rPr>
        <w:t>, לימים נשיא בית המשפט העליון, למצב דברים זה בציינו כי:</w:t>
      </w:r>
    </w:p>
    <w:p w14:paraId="1DF27858" w14:textId="77777777" w:rsidR="000E5D20" w:rsidRPr="00643EF4" w:rsidRDefault="000E5D20" w:rsidP="000E5D20">
      <w:pPr>
        <w:pStyle w:val="Ruller41"/>
        <w:rPr>
          <w:rtl/>
        </w:rPr>
      </w:pPr>
    </w:p>
    <w:p w14:paraId="79FF96A4" w14:textId="77777777" w:rsidR="000E5D20" w:rsidRPr="00643EF4" w:rsidRDefault="000E5D20" w:rsidP="000E5D20">
      <w:pPr>
        <w:pStyle w:val="Ruller5"/>
        <w:rPr>
          <w:rtl/>
        </w:rPr>
      </w:pPr>
      <w:r w:rsidRPr="00643EF4">
        <w:rPr>
          <w:rFonts w:hint="cs"/>
          <w:rtl/>
        </w:rPr>
        <w:t xml:space="preserve">"כאשר כוח צבאי נוטל לידיו את השליטה היעילה בשטח, שהיה לפני כן בתחום שלטונו של האויב שניגף בפניו, הרי </w:t>
      </w:r>
      <w:r w:rsidRPr="00643EF4">
        <w:rPr>
          <w:rFonts w:ascii="Century" w:hAnsi="Century" w:cs="Miriam" w:hint="cs"/>
          <w:b/>
          <w:spacing w:val="0"/>
          <w:szCs w:val="24"/>
          <w:rtl/>
        </w:rPr>
        <w:t>עובדת</w:t>
      </w:r>
      <w:r w:rsidRPr="00643EF4">
        <w:rPr>
          <w:rFonts w:hint="cs"/>
          <w:rtl/>
        </w:rPr>
        <w:t xml:space="preserve"> ההחזקה היעילה בשטח היא המקנה למפקד הכוח הצבאי, החולש מעתה על האזור, את סמכויותיו, ומכוחה מתרכזות בו החובות והזכויות המתלוות לשליטתו זו" (ההדגשות במקור; מאיר שמגר "המשפט בשטחים המוחזקים ע"י צה"ל" </w:t>
      </w:r>
      <w:r w:rsidRPr="00643EF4">
        <w:rPr>
          <w:rFonts w:ascii="Century" w:hAnsi="Century" w:cs="Miriam" w:hint="cs"/>
          <w:b/>
          <w:spacing w:val="0"/>
          <w:szCs w:val="24"/>
          <w:rtl/>
        </w:rPr>
        <w:t>הפרקליט</w:t>
      </w:r>
      <w:r w:rsidRPr="00643EF4">
        <w:rPr>
          <w:rFonts w:ascii="Century" w:hAnsi="Century" w:hint="cs"/>
          <w:rtl/>
        </w:rPr>
        <w:t xml:space="preserve"> כ"ג</w:t>
      </w:r>
      <w:r w:rsidRPr="00643EF4">
        <w:rPr>
          <w:rFonts w:hint="cs"/>
          <w:rtl/>
        </w:rPr>
        <w:t xml:space="preserve"> 540, 540 (1967) (להלן: </w:t>
      </w:r>
      <w:r w:rsidRPr="00643EF4">
        <w:rPr>
          <w:rFonts w:ascii="Century" w:hAnsi="Century" w:cs="Miriam" w:hint="cs"/>
          <w:b/>
          <w:spacing w:val="0"/>
          <w:szCs w:val="24"/>
          <w:rtl/>
        </w:rPr>
        <w:t>המשפט בשטחים המוחזקים</w:t>
      </w:r>
      <w:r w:rsidRPr="00643EF4">
        <w:rPr>
          <w:rFonts w:ascii="Century" w:hAnsi="Century" w:hint="cs"/>
          <w:rtl/>
        </w:rPr>
        <w:t>)</w:t>
      </w:r>
      <w:r w:rsidRPr="00643EF4">
        <w:rPr>
          <w:rFonts w:hint="cs"/>
          <w:rtl/>
        </w:rPr>
        <w:t xml:space="preserve">; ראו </w:t>
      </w:r>
      <w:r w:rsidRPr="00643EF4">
        <w:rPr>
          <w:rFonts w:ascii="Century" w:hAnsi="Century"/>
          <w:rtl/>
        </w:rPr>
        <w:t>עוד</w:t>
      </w:r>
      <w:r w:rsidRPr="00643EF4">
        <w:rPr>
          <w:rFonts w:ascii="Century" w:hAnsi="Century"/>
          <w:szCs w:val="22"/>
        </w:rPr>
        <w:t xml:space="preserve">Meir Shamgar, </w:t>
      </w:r>
      <w:r w:rsidRPr="00643EF4">
        <w:rPr>
          <w:rFonts w:ascii="Century" w:hAnsi="Century"/>
          <w:i/>
          <w:iCs/>
          <w:szCs w:val="22"/>
        </w:rPr>
        <w:t>Legal Concepts and Problems of the Israeli Military Government – the Initial Stage</w:t>
      </w:r>
      <w:r w:rsidRPr="00643EF4">
        <w:rPr>
          <w:rFonts w:ascii="Century" w:hAnsi="Century"/>
          <w:szCs w:val="22"/>
        </w:rPr>
        <w:t xml:space="preserve">, </w:t>
      </w:r>
      <w:r w:rsidRPr="00643EF4">
        <w:rPr>
          <w:rFonts w:ascii="Century" w:hAnsi="Century"/>
          <w:i/>
          <w:iCs/>
          <w:szCs w:val="22"/>
        </w:rPr>
        <w:t>in</w:t>
      </w:r>
      <w:r w:rsidRPr="00643EF4">
        <w:rPr>
          <w:rFonts w:ascii="Century" w:hAnsi="Century"/>
          <w:szCs w:val="22"/>
        </w:rPr>
        <w:t xml:space="preserve"> </w:t>
      </w:r>
      <w:r w:rsidRPr="00643EF4">
        <w:rPr>
          <w:rFonts w:ascii="Century" w:hAnsi="Century"/>
          <w:smallCaps/>
          <w:szCs w:val="22"/>
        </w:rPr>
        <w:t>Military Government in the Territories Administrated by Israel 1967-1980: the Legal Aspects</w:t>
      </w:r>
      <w:r w:rsidRPr="00643EF4">
        <w:rPr>
          <w:rFonts w:ascii="Century" w:hAnsi="Century" w:cs="Miriam"/>
          <w:b/>
          <w:spacing w:val="0"/>
          <w:szCs w:val="22"/>
        </w:rPr>
        <w:t xml:space="preserve"> </w:t>
      </w:r>
      <w:r w:rsidRPr="00643EF4">
        <w:rPr>
          <w:rFonts w:ascii="Century" w:hAnsi="Century"/>
          <w:szCs w:val="22"/>
        </w:rPr>
        <w:t>13, 14, 28 (1982)</w:t>
      </w:r>
      <w:r w:rsidRPr="00643EF4">
        <w:rPr>
          <w:rFonts w:hint="cs"/>
          <w:rtl/>
        </w:rPr>
        <w:t xml:space="preserve"> (להלן: </w:t>
      </w:r>
      <w:r w:rsidRPr="00643EF4">
        <w:rPr>
          <w:rFonts w:ascii="Century" w:hAnsi="Century"/>
        </w:rPr>
        <w:t>Legal Concepts</w:t>
      </w:r>
      <w:r w:rsidRPr="00643EF4">
        <w:rPr>
          <w:rFonts w:hint="cs"/>
          <w:rtl/>
        </w:rPr>
        <w:t xml:space="preserve">); ראו גם עניין </w:t>
      </w:r>
      <w:r w:rsidRPr="00643EF4">
        <w:rPr>
          <w:rFonts w:ascii="Century" w:hAnsi="Century" w:cs="Miriam" w:hint="cs"/>
          <w:b/>
          <w:spacing w:val="0"/>
          <w:szCs w:val="24"/>
          <w:rtl/>
        </w:rPr>
        <w:t>אבו עיטה</w:t>
      </w:r>
      <w:r w:rsidRPr="00643EF4">
        <w:rPr>
          <w:rFonts w:ascii="Century" w:hAnsi="Century" w:hint="cs"/>
          <w:rtl/>
        </w:rPr>
        <w:t>, בעמ' 228 ו-230</w:t>
      </w:r>
      <w:r w:rsidRPr="00643EF4">
        <w:rPr>
          <w:rFonts w:hint="cs"/>
          <w:rtl/>
        </w:rPr>
        <w:t xml:space="preserve">). </w:t>
      </w:r>
    </w:p>
    <w:p w14:paraId="5D430724" w14:textId="77777777" w:rsidR="000E5D20" w:rsidRPr="00643EF4" w:rsidRDefault="000E5D20" w:rsidP="000E5D20">
      <w:pPr>
        <w:pStyle w:val="Ruller4"/>
        <w:numPr>
          <w:ilvl w:val="0"/>
          <w:numId w:val="0"/>
        </w:numPr>
        <w:rPr>
          <w:rFonts w:ascii="Century" w:hAnsi="Century"/>
          <w:sz w:val="22"/>
        </w:rPr>
      </w:pPr>
    </w:p>
    <w:p w14:paraId="6F75C9C4" w14:textId="77777777" w:rsidR="000E5D20" w:rsidRPr="00643EF4" w:rsidRDefault="000E5D20" w:rsidP="000E5D20">
      <w:pPr>
        <w:pStyle w:val="Ruller41"/>
        <w:rPr>
          <w:rtl/>
        </w:rPr>
      </w:pPr>
      <w:r w:rsidRPr="00643EF4">
        <w:rPr>
          <w:rtl/>
        </w:rPr>
        <w:tab/>
      </w:r>
      <w:r w:rsidRPr="00643EF4">
        <w:rPr>
          <w:rFonts w:hint="cs"/>
          <w:rtl/>
        </w:rPr>
        <w:t>תפיסה זו באה לידי ביטוי משפטי-הצהרתי במנשר בדבר נטילת השלטון ע"י צה"ל (מס' 1), התשכ"ז-1967 שפרסם מפקד כוחות צה"ל באזור מיד בסמוך לאחר כניסתו לשטח בחודש יוני 1967, שבו נקבע כי "</w:t>
      </w:r>
      <w:r w:rsidRPr="00643EF4">
        <w:rPr>
          <w:rStyle w:val="default"/>
          <w:rFonts w:ascii="Century" w:hAnsi="Century" w:hint="cs"/>
          <w:rtl/>
        </w:rPr>
        <w:t>צבא הגנה לישראל נכנס היום לאזור ונטל לידיו את השליטה וקיום הבטחון והסדר הציבורי באזור</w:t>
      </w:r>
      <w:r w:rsidRPr="00643EF4">
        <w:rPr>
          <w:rFonts w:hint="cs"/>
          <w:rtl/>
        </w:rPr>
        <w:t xml:space="preserve">". עוד באותו היום פרסם מפקד כוחות צה"ל באזור את המנשר בדבר סדרי שלטון ומשפט (אזור הגדה המערבית) </w:t>
      </w:r>
      <w:r w:rsidRPr="00643EF4">
        <w:rPr>
          <w:rFonts w:hint="cs"/>
          <w:rtl/>
        </w:rPr>
        <w:lastRenderedPageBreak/>
        <w:t xml:space="preserve">(מס' 2), התשכ"ז-1967 (להלן: </w:t>
      </w:r>
      <w:r w:rsidRPr="00643EF4">
        <w:rPr>
          <w:rFonts w:cs="Miriam" w:hint="cs"/>
          <w:b/>
          <w:spacing w:val="0"/>
          <w:szCs w:val="24"/>
          <w:rtl/>
        </w:rPr>
        <w:t>מנשר מס' 2</w:t>
      </w:r>
      <w:r w:rsidRPr="00643EF4">
        <w:rPr>
          <w:rFonts w:hint="cs"/>
          <w:rtl/>
        </w:rPr>
        <w:t xml:space="preserve">) שבו נקבע בסעיף 3(א) כי "כל </w:t>
      </w:r>
      <w:r w:rsidRPr="00643EF4">
        <w:rPr>
          <w:rStyle w:val="default"/>
          <w:rFonts w:ascii="Century" w:hAnsi="Century" w:hint="cs"/>
          <w:rtl/>
        </w:rPr>
        <w:t>סמכות של שלטון, חקיקה, מינוי ומינהל לגבי האזור או תושביו תהא מעתה נתונה בידי בלבד ותופעל רק על ידי או על ידי מי שיתמנה לכך על ידי או יפעל מטעמי".</w:t>
      </w:r>
      <w:r w:rsidRPr="00643EF4">
        <w:rPr>
          <w:rFonts w:hint="cs"/>
          <w:rtl/>
        </w:rPr>
        <w:t xml:space="preserve"> כפי שמציין </w:t>
      </w:r>
      <w:r w:rsidRPr="00643EF4">
        <w:rPr>
          <w:rFonts w:ascii="Century" w:hAnsi="Century" w:cs="Miriam" w:hint="cs"/>
          <w:b/>
          <w:spacing w:val="0"/>
          <w:szCs w:val="24"/>
          <w:rtl/>
        </w:rPr>
        <w:t>מ' שמגר</w:t>
      </w:r>
      <w:r w:rsidRPr="00643EF4">
        <w:rPr>
          <w:rFonts w:hint="cs"/>
          <w:rtl/>
        </w:rPr>
        <w:t>, הגם שאין לראות במנשרים אלה את הבסיס המשפטי לשלטונו של צה"ל בשטחי האזור, הם משקפים את הפרקטיקה המקובלת לפיה הכוח הצבאי הנוטל לידיו את החזקה היעילה בשטח מודיע ומצהיר על פעולה זו (</w:t>
      </w:r>
      <w:r w:rsidRPr="00643EF4">
        <w:rPr>
          <w:rFonts w:cs="Miriam" w:hint="cs"/>
          <w:b/>
          <w:spacing w:val="0"/>
          <w:szCs w:val="24"/>
          <w:rtl/>
        </w:rPr>
        <w:t>המשפט בשטחים המוחזקים</w:t>
      </w:r>
      <w:r w:rsidRPr="00643EF4">
        <w:rPr>
          <w:rFonts w:hint="cs"/>
          <w:rtl/>
        </w:rPr>
        <w:t xml:space="preserve">, בעמ' 541; ראו עוד משה דרורי </w:t>
      </w:r>
      <w:r w:rsidRPr="00643EF4">
        <w:rPr>
          <w:rFonts w:ascii="Century" w:hAnsi="Century" w:cs="Miriam" w:hint="cs"/>
          <w:b/>
          <w:spacing w:val="0"/>
          <w:szCs w:val="24"/>
          <w:rtl/>
        </w:rPr>
        <w:t>החקיקה באזור יהודה והשומרון</w:t>
      </w:r>
      <w:r w:rsidRPr="00643EF4">
        <w:rPr>
          <w:rFonts w:ascii="Century" w:hAnsi="Century" w:hint="cs"/>
          <w:rtl/>
        </w:rPr>
        <w:t xml:space="preserve"> 111</w:t>
      </w:r>
      <w:r w:rsidRPr="00643EF4">
        <w:rPr>
          <w:rFonts w:hint="cs"/>
          <w:rtl/>
        </w:rPr>
        <w:t xml:space="preserve"> (1975) (להלן: </w:t>
      </w:r>
      <w:r w:rsidRPr="00643EF4">
        <w:rPr>
          <w:rFonts w:ascii="Century" w:hAnsi="Century" w:cs="Miriam" w:hint="cs"/>
          <w:b/>
          <w:spacing w:val="0"/>
          <w:szCs w:val="24"/>
          <w:rtl/>
        </w:rPr>
        <w:t>דרורי</w:t>
      </w:r>
      <w:r w:rsidRPr="00643EF4">
        <w:rPr>
          <w:rFonts w:ascii="Century" w:hAnsi="Century" w:hint="cs"/>
          <w:rtl/>
        </w:rPr>
        <w:t>)</w:t>
      </w:r>
      <w:r w:rsidRPr="00643EF4">
        <w:rPr>
          <w:rFonts w:hint="cs"/>
          <w:rtl/>
        </w:rPr>
        <w:t xml:space="preserve">). </w:t>
      </w:r>
    </w:p>
    <w:p w14:paraId="14CA4E4E" w14:textId="77777777" w:rsidR="000E5D20" w:rsidRPr="00643EF4" w:rsidRDefault="000E5D20" w:rsidP="000E5D20">
      <w:pPr>
        <w:pStyle w:val="Ruller41"/>
        <w:rPr>
          <w:rtl/>
        </w:rPr>
      </w:pPr>
    </w:p>
    <w:p w14:paraId="302AC19B" w14:textId="77777777" w:rsidR="000E5D20" w:rsidRPr="00643EF4" w:rsidRDefault="000E5D20" w:rsidP="000E5D20">
      <w:pPr>
        <w:pStyle w:val="Ruller4"/>
        <w:tabs>
          <w:tab w:val="num" w:pos="10307"/>
        </w:tabs>
        <w:rPr>
          <w:rFonts w:ascii="FrankRuehl" w:hAnsi="FrankRuehl"/>
          <w:sz w:val="28"/>
          <w:rtl/>
        </w:rPr>
      </w:pPr>
      <w:r w:rsidRPr="00643EF4">
        <w:rPr>
          <w:rFonts w:hint="cs"/>
          <w:rtl/>
        </w:rPr>
        <w:t xml:space="preserve">כפי שנקבע לא אחת בפסיקתו של בית משפט זה, חרף שליטתו בשטח הנתון בתפיסה לוחמתית, המפקד הצבאי אינו הריבון שם והגישה המקובלת היא כי תפיסת החזקה בשטח אינה גוררת מאליה גם את העברת הריבונות בשטח המוחזק מן הריבון הקודם אל המפקד הצבאי (בג"ץ 2056/04 </w:t>
      </w:r>
      <w:r w:rsidRPr="00643EF4">
        <w:rPr>
          <w:rFonts w:cs="Miriam" w:hint="cs"/>
          <w:b/>
          <w:spacing w:val="0"/>
          <w:szCs w:val="24"/>
          <w:rtl/>
        </w:rPr>
        <w:t>מועצת הכפר בית סוריק נ' ממשלת ישראל</w:t>
      </w:r>
      <w:r w:rsidRPr="00643EF4">
        <w:rPr>
          <w:rFonts w:hint="cs"/>
          <w:rtl/>
        </w:rPr>
        <w:t xml:space="preserve">, פ"ד נח(5) 807, 832 (2004) (להלן: עניין </w:t>
      </w:r>
      <w:r w:rsidRPr="00643EF4">
        <w:rPr>
          <w:rFonts w:cs="Miriam" w:hint="cs"/>
          <w:b/>
          <w:spacing w:val="0"/>
          <w:szCs w:val="24"/>
          <w:rtl/>
        </w:rPr>
        <w:t>בית סוריק</w:t>
      </w:r>
      <w:r w:rsidRPr="00643EF4">
        <w:rPr>
          <w:rFonts w:hint="cs"/>
          <w:rtl/>
        </w:rPr>
        <w:t xml:space="preserve">); עניין </w:t>
      </w:r>
      <w:r w:rsidRPr="00643EF4">
        <w:rPr>
          <w:rFonts w:cs="Miriam" w:hint="cs"/>
          <w:b/>
          <w:spacing w:val="0"/>
          <w:szCs w:val="24"/>
          <w:rtl/>
        </w:rPr>
        <w:t>חוף עזה</w:t>
      </w:r>
      <w:r w:rsidRPr="00643EF4">
        <w:rPr>
          <w:rFonts w:hint="cs"/>
          <w:rtl/>
        </w:rPr>
        <w:t xml:space="preserve">, בעמ' 521-520; </w:t>
      </w:r>
      <w:r w:rsidRPr="00643EF4">
        <w:rPr>
          <w:rFonts w:cs="Miriam" w:hint="cs"/>
          <w:b/>
          <w:spacing w:val="0"/>
          <w:szCs w:val="24"/>
          <w:rtl/>
        </w:rPr>
        <w:t>דרורי</w:t>
      </w:r>
      <w:r w:rsidRPr="00643EF4">
        <w:rPr>
          <w:rFonts w:hint="cs"/>
          <w:rtl/>
        </w:rPr>
        <w:t xml:space="preserve">, בעמ' 33). כפועל היוצא מכך, סמכות המפקד הצבאי היא זמנית מטבעה במובן זה שמשכה הוא כמשך תקופת ההחזקה היעילה של השטח על ידי השלטון הצבאי (עניין </w:t>
      </w:r>
      <w:r w:rsidRPr="00643EF4">
        <w:rPr>
          <w:rFonts w:cs="Miriam" w:hint="cs"/>
          <w:b/>
          <w:spacing w:val="0"/>
          <w:szCs w:val="24"/>
          <w:rtl/>
        </w:rPr>
        <w:t>חוף עזה</w:t>
      </w:r>
      <w:r w:rsidRPr="00643EF4">
        <w:rPr>
          <w:rFonts w:hint="cs"/>
          <w:rtl/>
        </w:rPr>
        <w:t xml:space="preserve">, בעמ' 521; </w:t>
      </w:r>
      <w:r w:rsidRPr="00643EF4">
        <w:t>Legal Concepts</w:t>
      </w:r>
      <w:r w:rsidRPr="00643EF4">
        <w:rPr>
          <w:rFonts w:hint="cs"/>
          <w:rtl/>
        </w:rPr>
        <w:t xml:space="preserve">, בעמ' 46), גם אם זמניות זו נמשכת תקופה ארוכת שנים (עניין </w:t>
      </w:r>
      <w:r w:rsidRPr="00643EF4">
        <w:rPr>
          <w:rFonts w:cs="Miriam" w:hint="cs"/>
          <w:b/>
          <w:spacing w:val="0"/>
          <w:szCs w:val="24"/>
          <w:rtl/>
        </w:rPr>
        <w:t>ג'מעית אסכאן</w:t>
      </w:r>
      <w:r w:rsidRPr="00643EF4">
        <w:rPr>
          <w:rFonts w:hint="cs"/>
          <w:rtl/>
        </w:rPr>
        <w:t xml:space="preserve">, בעמ' 803-802; עניין </w:t>
      </w:r>
      <w:r w:rsidRPr="00643EF4">
        <w:rPr>
          <w:rFonts w:cs="Miriam" w:hint="cs"/>
          <w:b/>
          <w:spacing w:val="0"/>
          <w:szCs w:val="24"/>
          <w:rtl/>
        </w:rPr>
        <w:t>חוף עזה</w:t>
      </w:r>
      <w:r w:rsidRPr="00643EF4">
        <w:rPr>
          <w:rFonts w:hint="cs"/>
          <w:rtl/>
        </w:rPr>
        <w:t xml:space="preserve">, בעמ' 521). בהפעלת סמכותו כפוף המפקד הצבאי למערכת הנורמטיבית שבמסגרתה הוא פועל </w:t>
      </w:r>
      <w:r w:rsidRPr="00643EF4">
        <w:rPr>
          <w:rtl/>
        </w:rPr>
        <w:t>–</w:t>
      </w:r>
      <w:r w:rsidRPr="00643EF4">
        <w:rPr>
          <w:rFonts w:hint="cs"/>
          <w:rtl/>
        </w:rPr>
        <w:t xml:space="preserve"> היינו, כללי המשפט הבינלאומי הפומבי, ובמרכזם הדינים העוסקים בתפיסה לוחמתית (ראו, בין היתר: עניין </w:t>
      </w:r>
      <w:r w:rsidRPr="00643EF4">
        <w:rPr>
          <w:rFonts w:cs="Miriam" w:hint="cs"/>
          <w:b/>
          <w:spacing w:val="0"/>
          <w:szCs w:val="24"/>
          <w:rtl/>
        </w:rPr>
        <w:t>מראעבה</w:t>
      </w:r>
      <w:r w:rsidRPr="00643EF4">
        <w:rPr>
          <w:rFonts w:hint="cs"/>
          <w:rtl/>
        </w:rPr>
        <w:t xml:space="preserve">, בעמ' 492; עניין </w:t>
      </w:r>
      <w:r w:rsidRPr="00643EF4">
        <w:rPr>
          <w:rFonts w:cs="Miriam" w:hint="cs"/>
          <w:b/>
          <w:spacing w:val="0"/>
          <w:szCs w:val="24"/>
          <w:rtl/>
        </w:rPr>
        <w:t>חוף עזה</w:t>
      </w:r>
      <w:r w:rsidRPr="00643EF4">
        <w:rPr>
          <w:rFonts w:hint="cs"/>
          <w:rtl/>
        </w:rPr>
        <w:t xml:space="preserve">, בעמ' 514). כללים אלה מעוגנים במשפט הבינלאומי המנהגי ובמשפט הבינלאומי ההסכמי שהמדינה צד לו. כבר נפסק כי </w:t>
      </w:r>
      <w:r w:rsidRPr="00643EF4">
        <w:rPr>
          <w:rtl/>
        </w:rPr>
        <w:t xml:space="preserve">מבחינת </w:t>
      </w:r>
      <w:r w:rsidRPr="00643EF4">
        <w:rPr>
          <w:rFonts w:hint="cs"/>
          <w:rtl/>
        </w:rPr>
        <w:t>ה</w:t>
      </w:r>
      <w:r w:rsidRPr="00643EF4">
        <w:rPr>
          <w:rtl/>
        </w:rPr>
        <w:t xml:space="preserve">תפיסה הלוחמתית </w:t>
      </w:r>
      <w:r w:rsidRPr="00643EF4">
        <w:rPr>
          <w:rFonts w:hint="cs"/>
          <w:rtl/>
        </w:rPr>
        <w:t>הנוהגת באזור</w:t>
      </w:r>
      <w:r w:rsidRPr="00643EF4">
        <w:rPr>
          <w:rtl/>
        </w:rPr>
        <w:t>, ובה</w:t>
      </w:r>
      <w:r w:rsidRPr="00643EF4">
        <w:rPr>
          <w:rFonts w:hint="cs"/>
          <w:rtl/>
        </w:rPr>
        <w:t>י</w:t>
      </w:r>
      <w:r w:rsidRPr="00643EF4">
        <w:rPr>
          <w:rtl/>
        </w:rPr>
        <w:t xml:space="preserve">עדר חקיקה </w:t>
      </w:r>
      <w:r w:rsidRPr="00643EF4">
        <w:rPr>
          <w:rFonts w:hint="cs"/>
          <w:rtl/>
        </w:rPr>
        <w:t>"</w:t>
      </w:r>
      <w:r w:rsidRPr="00643EF4">
        <w:rPr>
          <w:rtl/>
        </w:rPr>
        <w:t>מזרימה</w:t>
      </w:r>
      <w:r w:rsidRPr="00643EF4">
        <w:rPr>
          <w:rFonts w:hint="cs"/>
          <w:rtl/>
        </w:rPr>
        <w:t>" המעגנת במשפט הפנימי של ישראל נורמות בינלאומיות הסכמיות</w:t>
      </w:r>
      <w:r w:rsidRPr="00643EF4">
        <w:rPr>
          <w:rtl/>
        </w:rPr>
        <w:t xml:space="preserve">, הנורמות העיקריות </w:t>
      </w:r>
      <w:r w:rsidRPr="00643EF4">
        <w:rPr>
          <w:rFonts w:hint="cs"/>
          <w:rtl/>
        </w:rPr>
        <w:t xml:space="preserve">החלות באזור </w:t>
      </w:r>
      <w:r w:rsidRPr="00643EF4">
        <w:rPr>
          <w:rtl/>
        </w:rPr>
        <w:t>הן אל</w:t>
      </w:r>
      <w:r w:rsidRPr="00643EF4">
        <w:rPr>
          <w:rFonts w:hint="cs"/>
          <w:rtl/>
        </w:rPr>
        <w:t>ו</w:t>
      </w:r>
      <w:r w:rsidRPr="00643EF4">
        <w:rPr>
          <w:rtl/>
        </w:rPr>
        <w:t xml:space="preserve"> הכלולות בתקנות בדבר דיניה ומנהגיה של המלחמה ביבשה משנת </w:t>
      </w:r>
      <w:r w:rsidRPr="00643EF4">
        <w:t>1907</w:t>
      </w:r>
      <w:r w:rsidRPr="00643EF4">
        <w:rPr>
          <w:rtl/>
        </w:rPr>
        <w:t>, הנספחות להסכם האג הרביעי מ-</w:t>
      </w:r>
      <w:r w:rsidRPr="00643EF4">
        <w:t xml:space="preserve"> 1907</w:t>
      </w:r>
      <w:r w:rsidRPr="00643EF4">
        <w:rPr>
          <w:rtl/>
        </w:rPr>
        <w:t>(להלן</w:t>
      </w:r>
      <w:r w:rsidRPr="00643EF4">
        <w:rPr>
          <w:rFonts w:hint="cs"/>
          <w:rtl/>
        </w:rPr>
        <w:t>:</w:t>
      </w:r>
      <w:r w:rsidRPr="00643EF4">
        <w:rPr>
          <w:rFonts w:cs="Miriam"/>
          <w:b/>
          <w:spacing w:val="0"/>
          <w:szCs w:val="24"/>
          <w:rtl/>
        </w:rPr>
        <w:t xml:space="preserve"> תקנות האג</w:t>
      </w:r>
      <w:r w:rsidRPr="00643EF4">
        <w:rPr>
          <w:rtl/>
        </w:rPr>
        <w:t>)</w:t>
      </w:r>
      <w:r w:rsidRPr="00643EF4">
        <w:rPr>
          <w:rFonts w:hint="cs"/>
          <w:rtl/>
        </w:rPr>
        <w:t xml:space="preserve"> והנושאות אופי מנהגי (עניין </w:t>
      </w:r>
      <w:r w:rsidRPr="00643EF4">
        <w:rPr>
          <w:rFonts w:cs="Miriam" w:hint="cs"/>
          <w:b/>
          <w:spacing w:val="0"/>
          <w:szCs w:val="24"/>
          <w:rtl/>
        </w:rPr>
        <w:t>דויקאת</w:t>
      </w:r>
      <w:r w:rsidRPr="00643EF4">
        <w:rPr>
          <w:rFonts w:hint="cs"/>
          <w:rtl/>
        </w:rPr>
        <w:t xml:space="preserve">; עניין </w:t>
      </w:r>
      <w:r w:rsidRPr="00643EF4">
        <w:rPr>
          <w:rFonts w:cs="Miriam" w:hint="cs"/>
          <w:b/>
          <w:spacing w:val="0"/>
          <w:szCs w:val="24"/>
          <w:rtl/>
        </w:rPr>
        <w:t>ג'מעית אסכאן</w:t>
      </w:r>
      <w:r w:rsidRPr="00643EF4">
        <w:rPr>
          <w:rFonts w:hint="cs"/>
          <w:rtl/>
        </w:rPr>
        <w:t xml:space="preserve">, בעמ' 793; עניין </w:t>
      </w:r>
      <w:r w:rsidRPr="00643EF4">
        <w:rPr>
          <w:rFonts w:cs="Miriam" w:hint="cs"/>
          <w:b/>
          <w:spacing w:val="0"/>
          <w:szCs w:val="24"/>
          <w:rtl/>
        </w:rPr>
        <w:t>בית סוריק</w:t>
      </w:r>
      <w:r w:rsidRPr="00643EF4">
        <w:rPr>
          <w:rFonts w:hint="cs"/>
          <w:rtl/>
        </w:rPr>
        <w:t xml:space="preserve">, בעמ' 827; עניין </w:t>
      </w:r>
      <w:r w:rsidRPr="00643EF4">
        <w:rPr>
          <w:rFonts w:cs="Miriam" w:hint="cs"/>
          <w:b/>
          <w:spacing w:val="0"/>
          <w:szCs w:val="24"/>
          <w:rtl/>
        </w:rPr>
        <w:t>חוף עזה</w:t>
      </w:r>
      <w:r w:rsidRPr="00643EF4">
        <w:rPr>
          <w:rFonts w:hint="cs"/>
          <w:rtl/>
        </w:rPr>
        <w:t xml:space="preserve">, בעמ' 584; </w:t>
      </w:r>
      <w:r w:rsidRPr="00643EF4">
        <w:rPr>
          <w:smallCaps/>
        </w:rPr>
        <w:t>Yoram Dinstein, The International Law of Belligerent Occupation</w:t>
      </w:r>
      <w:r w:rsidRPr="00643EF4">
        <w:t xml:space="preserve"> 5 (2009)</w:t>
      </w:r>
      <w:r w:rsidRPr="00643EF4">
        <w:rPr>
          <w:rFonts w:hint="cs"/>
          <w:rtl/>
        </w:rPr>
        <w:t xml:space="preserve"> (להלן: </w:t>
      </w:r>
      <w:r w:rsidRPr="00643EF4">
        <w:rPr>
          <w:rFonts w:cs="Miriam" w:hint="cs"/>
          <w:b/>
          <w:spacing w:val="0"/>
          <w:szCs w:val="24"/>
          <w:rtl/>
        </w:rPr>
        <w:t>דינשטיין</w:t>
      </w:r>
      <w:r w:rsidRPr="00643EF4">
        <w:rPr>
          <w:rFonts w:hint="cs"/>
          <w:rtl/>
        </w:rPr>
        <w:t>))</w:t>
      </w:r>
      <w:r w:rsidRPr="00643EF4">
        <w:rPr>
          <w:rtl/>
        </w:rPr>
        <w:t xml:space="preserve">. </w:t>
      </w:r>
      <w:r w:rsidRPr="00643EF4">
        <w:rPr>
          <w:rFonts w:hint="cs"/>
          <w:rtl/>
        </w:rPr>
        <w:t xml:space="preserve">כמו כן, גישתן ארוכת השנים של ממשלות ישראל הייתה להכיר בתחולת החלקים ההומניטאריים של </w:t>
      </w:r>
      <w:r w:rsidRPr="00643EF4">
        <w:rPr>
          <w:rtl/>
        </w:rPr>
        <w:t>אמנת ג'נבה בדבר הגנת אזרחים בימי מלחמה</w:t>
      </w:r>
      <w:r w:rsidRPr="00643EF4">
        <w:rPr>
          <w:rFonts w:hint="cs"/>
          <w:rtl/>
        </w:rPr>
        <w:t xml:space="preserve"> משנת</w:t>
      </w:r>
      <w:r w:rsidRPr="00643EF4">
        <w:rPr>
          <w:rtl/>
        </w:rPr>
        <w:t xml:space="preserve"> </w:t>
      </w:r>
      <w:r w:rsidRPr="00643EF4">
        <w:t>1949</w:t>
      </w:r>
      <w:r w:rsidRPr="00643EF4">
        <w:rPr>
          <w:rFonts w:hint="cs"/>
          <w:rtl/>
        </w:rPr>
        <w:t xml:space="preserve"> (להלן: </w:t>
      </w:r>
      <w:r w:rsidRPr="00643EF4">
        <w:rPr>
          <w:rFonts w:cs="Miriam" w:hint="cs"/>
          <w:b/>
          <w:spacing w:val="0"/>
          <w:szCs w:val="24"/>
          <w:rtl/>
        </w:rPr>
        <w:t>אמנת ג'נבה הרביעית</w:t>
      </w:r>
      <w:r w:rsidRPr="00643EF4">
        <w:rPr>
          <w:rFonts w:hint="cs"/>
          <w:rtl/>
        </w:rPr>
        <w:t>)</w:t>
      </w:r>
      <w:r w:rsidRPr="00643EF4">
        <w:rPr>
          <w:rtl/>
        </w:rPr>
        <w:t xml:space="preserve">, </w:t>
      </w:r>
      <w:r w:rsidRPr="00643EF4">
        <w:rPr>
          <w:rFonts w:hint="cs"/>
          <w:rtl/>
        </w:rPr>
        <w:t xml:space="preserve">הגם שאמנה זו בעת כינונה הייתה </w:t>
      </w:r>
      <w:r w:rsidRPr="00643EF4">
        <w:rPr>
          <w:rtl/>
        </w:rPr>
        <w:t xml:space="preserve">בעיקרה קונסטיטוטיבית </w:t>
      </w:r>
      <w:r w:rsidRPr="00643EF4">
        <w:rPr>
          <w:rFonts w:hint="cs"/>
          <w:rtl/>
        </w:rPr>
        <w:t xml:space="preserve">(עניין </w:t>
      </w:r>
      <w:r w:rsidRPr="00643EF4">
        <w:rPr>
          <w:rFonts w:cs="Miriam" w:hint="cs"/>
          <w:b/>
          <w:spacing w:val="0"/>
          <w:szCs w:val="24"/>
          <w:rtl/>
        </w:rPr>
        <w:t>ג'מעית אסכאן</w:t>
      </w:r>
      <w:r w:rsidRPr="00643EF4">
        <w:rPr>
          <w:rFonts w:hint="cs"/>
          <w:rtl/>
        </w:rPr>
        <w:t xml:space="preserve">, בעמ' 794-793; עניין </w:t>
      </w:r>
      <w:r w:rsidRPr="00643EF4">
        <w:rPr>
          <w:rFonts w:cs="Miriam" w:hint="cs"/>
          <w:b/>
          <w:spacing w:val="0"/>
          <w:szCs w:val="24"/>
          <w:rtl/>
        </w:rPr>
        <w:t>מראעבה</w:t>
      </w:r>
      <w:r w:rsidRPr="00643EF4">
        <w:rPr>
          <w:rFonts w:hint="cs"/>
          <w:rtl/>
        </w:rPr>
        <w:t xml:space="preserve">, בעמ' 492; עניין </w:t>
      </w:r>
      <w:r w:rsidRPr="00643EF4">
        <w:rPr>
          <w:rFonts w:cs="Miriam" w:hint="cs"/>
          <w:b/>
          <w:spacing w:val="0"/>
          <w:szCs w:val="24"/>
          <w:rtl/>
        </w:rPr>
        <w:t>בית סוריק</w:t>
      </w:r>
      <w:r w:rsidRPr="00643EF4">
        <w:rPr>
          <w:rFonts w:hint="cs"/>
          <w:rtl/>
        </w:rPr>
        <w:t xml:space="preserve">, בעמ' 827; לעמדה הגורסת כי במרוצת השנים הפכו ההוראות הכלולות באמנה למנהגיות, ראו ארנה בן-נפתלי ויובל שני </w:t>
      </w:r>
      <w:r w:rsidRPr="00643EF4">
        <w:rPr>
          <w:rFonts w:cs="Miriam" w:hint="cs"/>
          <w:b/>
          <w:spacing w:val="0"/>
          <w:szCs w:val="24"/>
          <w:rtl/>
        </w:rPr>
        <w:t xml:space="preserve">המשפט הבינלאומי בין מלחמה לשלום </w:t>
      </w:r>
      <w:r w:rsidRPr="00643EF4">
        <w:rPr>
          <w:rFonts w:hint="cs"/>
          <w:rtl/>
        </w:rPr>
        <w:t xml:space="preserve">133-131 (2006) (להלן: </w:t>
      </w:r>
      <w:r w:rsidRPr="00643EF4">
        <w:rPr>
          <w:rFonts w:cs="Miriam" w:hint="cs"/>
          <w:b/>
          <w:spacing w:val="0"/>
          <w:szCs w:val="24"/>
          <w:rtl/>
        </w:rPr>
        <w:t>בן-נפתלי ושני</w:t>
      </w:r>
      <w:r w:rsidRPr="00643EF4">
        <w:rPr>
          <w:rFonts w:hint="cs"/>
          <w:rtl/>
        </w:rPr>
        <w:t xml:space="preserve">); </w:t>
      </w:r>
      <w:r w:rsidRPr="00643EF4">
        <w:rPr>
          <w:smallCaps/>
        </w:rPr>
        <w:t>Aeyal Gross, The Writing on the Wall: Rethinking the International Law of Occupation</w:t>
      </w:r>
      <w:r w:rsidRPr="00643EF4">
        <w:rPr>
          <w:rFonts w:cs="Miriam"/>
          <w:b/>
          <w:spacing w:val="0"/>
          <w:szCs w:val="24"/>
        </w:rPr>
        <w:t xml:space="preserve"> </w:t>
      </w:r>
      <w:r w:rsidRPr="00643EF4">
        <w:rPr>
          <w:rFonts w:cs="Miriam"/>
          <w:bCs/>
          <w:spacing w:val="0"/>
          <w:szCs w:val="24"/>
        </w:rPr>
        <w:t>(2017)</w:t>
      </w:r>
      <w:r w:rsidRPr="00643EF4">
        <w:rPr>
          <w:rFonts w:hint="cs"/>
          <w:rtl/>
        </w:rPr>
        <w:t xml:space="preserve"> (להלן: </w:t>
      </w:r>
      <w:r w:rsidRPr="00643EF4">
        <w:rPr>
          <w:rFonts w:cs="Miriam" w:hint="cs"/>
          <w:b/>
          <w:spacing w:val="0"/>
          <w:szCs w:val="24"/>
          <w:rtl/>
        </w:rPr>
        <w:t>גרוס</w:t>
      </w:r>
      <w:r w:rsidRPr="00643EF4">
        <w:rPr>
          <w:rFonts w:hint="cs"/>
          <w:rtl/>
        </w:rPr>
        <w:t xml:space="preserve">). עוד ראו עמדתו של </w:t>
      </w:r>
      <w:r w:rsidRPr="00643EF4">
        <w:rPr>
          <w:rFonts w:cs="Miriam" w:hint="cs"/>
          <w:b/>
          <w:spacing w:val="0"/>
          <w:szCs w:val="24"/>
          <w:rtl/>
        </w:rPr>
        <w:t>דינשטיין</w:t>
      </w:r>
      <w:r w:rsidRPr="00643EF4">
        <w:rPr>
          <w:rFonts w:hint="cs"/>
          <w:rtl/>
        </w:rPr>
        <w:t xml:space="preserve"> לפיה כיום הוראות אמנה זו מחייבות במלואן את </w:t>
      </w:r>
      <w:r w:rsidRPr="00643EF4">
        <w:rPr>
          <w:rFonts w:hint="cs"/>
          <w:rtl/>
        </w:rPr>
        <w:lastRenderedPageBreak/>
        <w:t xml:space="preserve">ישראל, </w:t>
      </w:r>
      <w:r w:rsidRPr="00643EF4">
        <w:rPr>
          <w:rFonts w:cs="Miriam" w:hint="cs"/>
          <w:b/>
          <w:spacing w:val="0"/>
          <w:szCs w:val="24"/>
          <w:rtl/>
        </w:rPr>
        <w:t>שם</w:t>
      </w:r>
      <w:r w:rsidRPr="00643EF4">
        <w:rPr>
          <w:rFonts w:hint="cs"/>
          <w:rtl/>
        </w:rPr>
        <w:t>, בעמ' 30). דינים אלה ניתן להשלים, במקרים המתאימים, באמצעות נורמות השאובות מדיני זכויות האדם הבינלאומיים (</w:t>
      </w:r>
      <w:r w:rsidRPr="00643EF4">
        <w:rPr>
          <w:rtl/>
        </w:rPr>
        <w:t>בג</w:t>
      </w:r>
      <w:r w:rsidRPr="00643EF4">
        <w:rPr>
          <w:rFonts w:hint="cs"/>
          <w:rtl/>
        </w:rPr>
        <w:t>"</w:t>
      </w:r>
      <w:r w:rsidRPr="00643EF4">
        <w:rPr>
          <w:rtl/>
        </w:rPr>
        <w:t xml:space="preserve">ץ 769/02‏ </w:t>
      </w:r>
      <w:r w:rsidRPr="00643EF4">
        <w:rPr>
          <w:rFonts w:ascii="Century" w:hAnsi="Century" w:cs="Miriam"/>
          <w:b/>
          <w:spacing w:val="0"/>
          <w:sz w:val="22"/>
          <w:szCs w:val="24"/>
          <w:rtl/>
        </w:rPr>
        <w:t>הועד הציבורי נגד</w:t>
      </w:r>
      <w:r w:rsidRPr="00643EF4">
        <w:rPr>
          <w:rFonts w:ascii="Century" w:hAnsi="Century" w:cs="Miriam" w:hint="cs"/>
          <w:b/>
          <w:spacing w:val="0"/>
          <w:sz w:val="22"/>
          <w:szCs w:val="24"/>
          <w:rtl/>
        </w:rPr>
        <w:t xml:space="preserve"> </w:t>
      </w:r>
      <w:r w:rsidRPr="00643EF4">
        <w:rPr>
          <w:rFonts w:ascii="Century" w:hAnsi="Century" w:cs="Miriam"/>
          <w:b/>
          <w:spacing w:val="0"/>
          <w:sz w:val="22"/>
          <w:szCs w:val="24"/>
          <w:rtl/>
        </w:rPr>
        <w:t>העינויים בישראל נ' ממשלת ישראל</w:t>
      </w:r>
      <w:r w:rsidRPr="00643EF4">
        <w:rPr>
          <w:rtl/>
        </w:rPr>
        <w:t>, פ</w:t>
      </w:r>
      <w:r w:rsidRPr="00643EF4">
        <w:rPr>
          <w:rFonts w:hint="cs"/>
          <w:rtl/>
        </w:rPr>
        <w:t>"</w:t>
      </w:r>
      <w:r w:rsidRPr="00643EF4">
        <w:rPr>
          <w:rtl/>
        </w:rPr>
        <w:t>ד סב(1) 507</w:t>
      </w:r>
      <w:r w:rsidRPr="00643EF4">
        <w:rPr>
          <w:rFonts w:hint="cs"/>
          <w:rtl/>
        </w:rPr>
        <w:t xml:space="preserve">, 547-545 (2006); </w:t>
      </w:r>
      <w:r w:rsidRPr="00643EF4">
        <w:rPr>
          <w:rFonts w:hint="eastAsia"/>
          <w:rtl/>
        </w:rPr>
        <w:t>בג</w:t>
      </w:r>
      <w:r w:rsidRPr="00643EF4">
        <w:rPr>
          <w:rtl/>
        </w:rPr>
        <w:t>"</w:t>
      </w:r>
      <w:r w:rsidRPr="00643EF4">
        <w:rPr>
          <w:rFonts w:hint="eastAsia"/>
          <w:rtl/>
        </w:rPr>
        <w:t>ץ</w:t>
      </w:r>
      <w:r w:rsidRPr="00643EF4">
        <w:rPr>
          <w:rtl/>
        </w:rPr>
        <w:t xml:space="preserve"> 3969/06 </w:t>
      </w:r>
      <w:r w:rsidRPr="00643EF4">
        <w:rPr>
          <w:rFonts w:ascii="Century" w:hAnsi="Century" w:cs="Miriam" w:hint="eastAsia"/>
          <w:b/>
          <w:spacing w:val="0"/>
          <w:sz w:val="22"/>
          <w:szCs w:val="24"/>
          <w:rtl/>
        </w:rPr>
        <w:t>אלחרוב</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מפקד</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כוחות</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צה</w:t>
      </w:r>
      <w:r w:rsidRPr="00643EF4">
        <w:rPr>
          <w:rFonts w:ascii="Century" w:hAnsi="Century" w:cs="Miriam"/>
          <w:b/>
          <w:spacing w:val="0"/>
          <w:sz w:val="22"/>
          <w:szCs w:val="24"/>
          <w:rtl/>
        </w:rPr>
        <w:t>"</w:t>
      </w:r>
      <w:r w:rsidRPr="00643EF4">
        <w:rPr>
          <w:rFonts w:ascii="Century" w:hAnsi="Century" w:cs="Miriam" w:hint="eastAsia"/>
          <w:b/>
          <w:spacing w:val="0"/>
          <w:sz w:val="22"/>
          <w:szCs w:val="24"/>
          <w:rtl/>
        </w:rPr>
        <w:t>ל</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בגדה</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המערבית</w:t>
      </w:r>
      <w:r w:rsidRPr="00643EF4">
        <w:rPr>
          <w:rFonts w:hint="cs"/>
          <w:rtl/>
        </w:rPr>
        <w:t>, פסקה 10</w:t>
      </w:r>
      <w:r w:rsidRPr="00643EF4">
        <w:rPr>
          <w:rtl/>
        </w:rPr>
        <w:t xml:space="preserve"> (</w:t>
      </w:r>
      <w:r w:rsidRPr="00643EF4">
        <w:rPr>
          <w:rFonts w:ascii="Times New Roman" w:hAnsi="Times New Roman"/>
          <w:rtl/>
        </w:rPr>
        <w:t>22.10.2009</w:t>
      </w:r>
      <w:r w:rsidRPr="00643EF4">
        <w:rPr>
          <w:rtl/>
        </w:rPr>
        <w:t>)</w:t>
      </w:r>
      <w:r w:rsidRPr="00643EF4">
        <w:rPr>
          <w:rFonts w:hint="cs"/>
          <w:rtl/>
        </w:rPr>
        <w:t xml:space="preserve">; </w:t>
      </w:r>
      <w:r w:rsidRPr="00643EF4">
        <w:rPr>
          <w:rFonts w:ascii="Century" w:hAnsi="Century" w:cs="Miriam"/>
          <w:b/>
          <w:spacing w:val="0"/>
          <w:sz w:val="22"/>
          <w:szCs w:val="24"/>
          <w:rtl/>
        </w:rPr>
        <w:t xml:space="preserve">דו"ח הוועדה הציבורית לבדיקת האירוע הימי </w:t>
      </w:r>
      <w:r w:rsidRPr="00643EF4">
        <w:rPr>
          <w:rFonts w:ascii="Century" w:hAnsi="Century" w:cs="Miriam" w:hint="eastAsia"/>
          <w:b/>
          <w:spacing w:val="0"/>
          <w:sz w:val="22"/>
          <w:szCs w:val="24"/>
          <w:rtl/>
        </w:rPr>
        <w:t>מיום</w:t>
      </w:r>
      <w:r w:rsidRPr="00643EF4">
        <w:rPr>
          <w:rFonts w:ascii="Century" w:hAnsi="Century" w:cs="Miriam"/>
          <w:b/>
          <w:spacing w:val="0"/>
          <w:sz w:val="22"/>
          <w:szCs w:val="24"/>
          <w:rtl/>
        </w:rPr>
        <w:t xml:space="preserve"> 31 </w:t>
      </w:r>
      <w:r w:rsidRPr="00643EF4">
        <w:rPr>
          <w:rFonts w:ascii="Century" w:hAnsi="Century" w:cs="Miriam" w:hint="eastAsia"/>
          <w:b/>
          <w:spacing w:val="0"/>
          <w:sz w:val="22"/>
          <w:szCs w:val="24"/>
          <w:rtl/>
        </w:rPr>
        <w:t>במאי</w:t>
      </w:r>
      <w:r w:rsidRPr="00643EF4">
        <w:rPr>
          <w:rFonts w:ascii="Century" w:hAnsi="Century" w:cs="Miriam"/>
          <w:b/>
          <w:spacing w:val="0"/>
          <w:sz w:val="22"/>
          <w:szCs w:val="24"/>
          <w:rtl/>
        </w:rPr>
        <w:t xml:space="preserve"> 2010</w:t>
      </w:r>
      <w:r w:rsidRPr="00643EF4">
        <w:rPr>
          <w:rFonts w:ascii="Century" w:hAnsi="Century" w:hint="cs"/>
          <w:rtl/>
        </w:rPr>
        <w:t xml:space="preserve"> 63-58 וההפניות המובאות שם</w:t>
      </w:r>
      <w:r w:rsidRPr="00643EF4">
        <w:rPr>
          <w:rFonts w:ascii="Century" w:hAnsi="Century"/>
          <w:rtl/>
        </w:rPr>
        <w:t xml:space="preserve"> (חלק שני, פברואר 2013)</w:t>
      </w:r>
      <w:r w:rsidRPr="00643EF4">
        <w:rPr>
          <w:rFonts w:ascii="Century" w:hAnsi="Century" w:hint="cs"/>
          <w:rtl/>
        </w:rPr>
        <w:t>)</w:t>
      </w:r>
      <w:r w:rsidRPr="00643EF4">
        <w:rPr>
          <w:rFonts w:ascii="FrankRuehl" w:hAnsi="FrankRuehl"/>
          <w:sz w:val="28"/>
          <w:rtl/>
        </w:rPr>
        <w:t>.</w:t>
      </w:r>
    </w:p>
    <w:p w14:paraId="735224C8" w14:textId="77777777" w:rsidR="000E5D20" w:rsidRPr="00643EF4" w:rsidRDefault="000E5D20" w:rsidP="000E5D20">
      <w:pPr>
        <w:pStyle w:val="Ruller41"/>
      </w:pPr>
    </w:p>
    <w:p w14:paraId="315A05D1" w14:textId="2762120B" w:rsidR="000E5D20" w:rsidRPr="00643EF4" w:rsidRDefault="001103CD" w:rsidP="000E5D20">
      <w:pPr>
        <w:pStyle w:val="Ruller4"/>
        <w:tabs>
          <w:tab w:val="num" w:pos="10307"/>
        </w:tabs>
      </w:pPr>
      <w:r w:rsidRPr="00643EF4">
        <w:rPr>
          <w:rFonts w:hint="cs"/>
          <w:rtl/>
        </w:rPr>
        <w:t>נקודת המוצא של כללי המשפט הבינלאומי עליהם עמדנו</w:t>
      </w:r>
      <w:r w:rsidR="000E5D20" w:rsidRPr="00643EF4">
        <w:rPr>
          <w:rFonts w:hint="cs"/>
          <w:rtl/>
        </w:rPr>
        <w:t xml:space="preserve"> </w:t>
      </w:r>
      <w:r w:rsidR="000E5D20" w:rsidRPr="00643EF4">
        <w:rPr>
          <w:rtl/>
        </w:rPr>
        <w:t>–</w:t>
      </w:r>
      <w:r w:rsidR="000E5D20" w:rsidRPr="00643EF4">
        <w:rPr>
          <w:rFonts w:hint="cs"/>
          <w:rtl/>
        </w:rPr>
        <w:t xml:space="preserve"> המעוגנת במנשר מס' 2 </w:t>
      </w:r>
      <w:r w:rsidR="000E5D20" w:rsidRPr="00643EF4">
        <w:rPr>
          <w:rtl/>
        </w:rPr>
        <w:t>–</w:t>
      </w:r>
      <w:r w:rsidR="000E5D20" w:rsidRPr="00643EF4">
        <w:rPr>
          <w:rFonts w:hint="cs"/>
          <w:rtl/>
        </w:rPr>
        <w:t xml:space="preserve"> היא כי יש לכבד, ככל האפשר, את החוקים שהיו בתוקף באזור במועד כניסת צה"ל לשטח. אכן, כינון השלטון הצבאי באזור בשנת 1967 לא היה בו כדי לשנות על אתר את סדרי המשפט והשיפוט שנהגו שם, והדין החל באזור עד לאותו המועד </w:t>
      </w:r>
      <w:r w:rsidR="000E5D20" w:rsidRPr="00643EF4">
        <w:rPr>
          <w:rtl/>
        </w:rPr>
        <w:t>–</w:t>
      </w:r>
      <w:r w:rsidR="000E5D20" w:rsidRPr="00643EF4">
        <w:rPr>
          <w:rFonts w:hint="cs"/>
          <w:rtl/>
        </w:rPr>
        <w:t xml:space="preserve"> קרי </w:t>
      </w:r>
      <w:r w:rsidR="000E5D20" w:rsidRPr="00643EF4">
        <w:rPr>
          <w:rFonts w:hint="cs"/>
          <w:sz w:val="28"/>
          <w:rtl/>
        </w:rPr>
        <w:t xml:space="preserve">דברי החקיקה העות'מאניים, המנדטוריים והירדנים שהיו בתוקף באותו מועד </w:t>
      </w:r>
      <w:r w:rsidR="000E5D20" w:rsidRPr="00643EF4">
        <w:rPr>
          <w:rtl/>
        </w:rPr>
        <w:t>–</w:t>
      </w:r>
      <w:r w:rsidR="000E5D20" w:rsidRPr="00643EF4">
        <w:rPr>
          <w:rFonts w:hint="cs"/>
          <w:rtl/>
        </w:rPr>
        <w:t xml:space="preserve"> לא התבטל מאליו בשל חילופי השליטה </w:t>
      </w:r>
      <w:r w:rsidR="000E5D20" w:rsidRPr="00643EF4">
        <w:rPr>
          <w:rFonts w:hint="cs"/>
          <w:sz w:val="28"/>
          <w:rtl/>
        </w:rPr>
        <w:t>(בג"ץ 375/</w:t>
      </w:r>
      <w:r w:rsidR="000E5D20" w:rsidRPr="00643EF4">
        <w:rPr>
          <w:rFonts w:ascii="Century" w:hAnsi="Century" w:hint="cs"/>
          <w:sz w:val="22"/>
          <w:rtl/>
        </w:rPr>
        <w:t xml:space="preserve">14 </w:t>
      </w:r>
      <w:r w:rsidR="000E5D20" w:rsidRPr="00643EF4">
        <w:rPr>
          <w:rFonts w:ascii="Century" w:hAnsi="Century" w:cs="Miriam" w:hint="cs"/>
          <w:b/>
          <w:spacing w:val="0"/>
          <w:sz w:val="22"/>
          <w:szCs w:val="24"/>
          <w:rtl/>
        </w:rPr>
        <w:t>הרשות לשמירת הטבע והגנים הלאומיים נ' מועצה אזורית מגילות ים המלח</w:t>
      </w:r>
      <w:r w:rsidR="000E5D20" w:rsidRPr="00643EF4">
        <w:rPr>
          <w:rFonts w:ascii="Century" w:hAnsi="Century" w:hint="cs"/>
          <w:sz w:val="22"/>
          <w:rtl/>
        </w:rPr>
        <w:t>,</w:t>
      </w:r>
      <w:r w:rsidR="000E5D20" w:rsidRPr="00643EF4">
        <w:rPr>
          <w:rFonts w:hint="cs"/>
          <w:sz w:val="28"/>
          <w:rtl/>
        </w:rPr>
        <w:t xml:space="preserve"> פסקה 11 (22.8.2016) (להלן: עניין </w:t>
      </w:r>
      <w:r w:rsidR="000E5D20" w:rsidRPr="00643EF4">
        <w:rPr>
          <w:rFonts w:ascii="Century" w:hAnsi="Century" w:cs="Miriam" w:hint="cs"/>
          <w:b/>
          <w:spacing w:val="0"/>
          <w:sz w:val="22"/>
          <w:szCs w:val="24"/>
          <w:rtl/>
        </w:rPr>
        <w:t>רשות הטבע והגנים</w:t>
      </w:r>
      <w:r w:rsidR="000E5D20" w:rsidRPr="00643EF4">
        <w:rPr>
          <w:rFonts w:ascii="Century" w:hAnsi="Century" w:hint="cs"/>
          <w:sz w:val="22"/>
          <w:rtl/>
        </w:rPr>
        <w:t>)</w:t>
      </w:r>
      <w:r w:rsidR="000E5D20" w:rsidRPr="00643EF4">
        <w:rPr>
          <w:rFonts w:hint="cs"/>
          <w:sz w:val="28"/>
          <w:rtl/>
        </w:rPr>
        <w:t xml:space="preserve">; </w:t>
      </w:r>
      <w:r w:rsidR="000E5D20" w:rsidRPr="00643EF4">
        <w:rPr>
          <w:rFonts w:cs="Miriam" w:hint="cs"/>
          <w:b/>
          <w:spacing w:val="0"/>
          <w:szCs w:val="24"/>
          <w:rtl/>
        </w:rPr>
        <w:t>המשפט בשטחים המוחזקים</w:t>
      </w:r>
      <w:r w:rsidR="000E5D20" w:rsidRPr="00643EF4">
        <w:rPr>
          <w:rFonts w:hint="cs"/>
          <w:rtl/>
        </w:rPr>
        <w:t>, בעמ' 541). הדבר קיבל ביטוי מפורש בסעיף 2 למנשר מס' 2 הקובע כך:</w:t>
      </w:r>
      <w:r w:rsidR="000E5D20" w:rsidRPr="00643EF4">
        <w:rPr>
          <w:rFonts w:ascii="Century" w:hAnsi="Century" w:hint="cs"/>
          <w:sz w:val="22"/>
          <w:rtl/>
        </w:rPr>
        <w:t xml:space="preserve"> </w:t>
      </w:r>
    </w:p>
    <w:p w14:paraId="659DF1D3" w14:textId="77777777" w:rsidR="000E5D20" w:rsidRPr="00643EF4" w:rsidRDefault="000E5D20" w:rsidP="000E5D20">
      <w:pPr>
        <w:pStyle w:val="Ruller4"/>
        <w:numPr>
          <w:ilvl w:val="0"/>
          <w:numId w:val="0"/>
        </w:numPr>
      </w:pPr>
    </w:p>
    <w:p w14:paraId="77530FC1" w14:textId="77777777" w:rsidR="000E5D20" w:rsidRPr="00643EF4" w:rsidRDefault="000E5D20" w:rsidP="000E5D20">
      <w:pPr>
        <w:pStyle w:val="Ruller5"/>
        <w:rPr>
          <w:rtl/>
        </w:rPr>
      </w:pPr>
      <w:r w:rsidRPr="00643EF4">
        <w:rPr>
          <w:rFonts w:hint="cs"/>
          <w:rtl/>
        </w:rPr>
        <w:t xml:space="preserve">"המשפט שהיה קיים באזור ביום כ"ח באייר תשכ"ז (7 ביוני 1967) יעמוד בתוקפו, עד כמה שאין בו משום סתירה למנשר זה או לכל מנשר או צו, שיינתנו על ידי, ובשינויים הנובעים מכינונו של שלטון צבא הגנה לישראל באזור". </w:t>
      </w:r>
    </w:p>
    <w:p w14:paraId="489052BA" w14:textId="77777777" w:rsidR="000E5D20" w:rsidRPr="00643EF4" w:rsidRDefault="000E5D20" w:rsidP="000E5D20">
      <w:pPr>
        <w:pStyle w:val="Ruller5"/>
        <w:rPr>
          <w:rtl/>
        </w:rPr>
      </w:pPr>
    </w:p>
    <w:p w14:paraId="63C28DE6" w14:textId="77777777" w:rsidR="000E5D20" w:rsidRPr="00643EF4" w:rsidRDefault="000E5D20" w:rsidP="000E5D20">
      <w:pPr>
        <w:pStyle w:val="Ruller41"/>
        <w:rPr>
          <w:rtl/>
        </w:rPr>
      </w:pPr>
      <w:r w:rsidRPr="00643EF4">
        <w:rPr>
          <w:rtl/>
        </w:rPr>
        <w:tab/>
      </w:r>
      <w:r w:rsidRPr="00643EF4">
        <w:rPr>
          <w:rFonts w:hint="cs"/>
          <w:rtl/>
        </w:rPr>
        <w:t xml:space="preserve">לצד זאת, מסורה למפקד הצבאי סמכות מכוח דיני התפיסה הלוחמתית לשנות את הדין המקומי (ראו, למשל: עניין </w:t>
      </w:r>
      <w:r w:rsidRPr="00643EF4">
        <w:rPr>
          <w:rFonts w:ascii="Century" w:hAnsi="Century" w:cs="Miriam" w:hint="cs"/>
          <w:b/>
          <w:spacing w:val="0"/>
          <w:szCs w:val="24"/>
          <w:rtl/>
        </w:rPr>
        <w:t>חוף עזה</w:t>
      </w:r>
      <w:r w:rsidRPr="00643EF4">
        <w:rPr>
          <w:rFonts w:ascii="Century" w:hAnsi="Century" w:hint="cs"/>
          <w:rtl/>
        </w:rPr>
        <w:t>, בעמ' 519</w:t>
      </w:r>
      <w:r w:rsidRPr="00643EF4">
        <w:rPr>
          <w:rFonts w:hint="cs"/>
          <w:rtl/>
        </w:rPr>
        <w:t xml:space="preserve">) ובמסגרת זו הותקנה באזור תחיקת ביטחון מקיפה (עניין </w:t>
      </w:r>
      <w:r w:rsidRPr="00643EF4">
        <w:rPr>
          <w:rFonts w:ascii="Century" w:hAnsi="Century" w:cs="Miriam" w:hint="cs"/>
          <w:b/>
          <w:spacing w:val="0"/>
          <w:szCs w:val="24"/>
          <w:rtl/>
        </w:rPr>
        <w:t>רשות הטבע והגנים</w:t>
      </w:r>
      <w:r w:rsidRPr="00643EF4">
        <w:rPr>
          <w:rFonts w:hint="cs"/>
          <w:rtl/>
        </w:rPr>
        <w:t xml:space="preserve">, </w:t>
      </w:r>
      <w:r w:rsidRPr="00643EF4">
        <w:rPr>
          <w:rFonts w:hint="cs"/>
          <w:sz w:val="28"/>
          <w:rtl/>
        </w:rPr>
        <w:t>פסקה 11</w:t>
      </w:r>
      <w:r w:rsidRPr="00643EF4">
        <w:rPr>
          <w:rFonts w:hint="cs"/>
          <w:rtl/>
        </w:rPr>
        <w:t xml:space="preserve">; </w:t>
      </w:r>
      <w:r w:rsidRPr="00643EF4">
        <w:rPr>
          <w:rFonts w:ascii="Century" w:hAnsi="Century" w:cs="Miriam" w:hint="cs"/>
          <w:b/>
          <w:spacing w:val="0"/>
          <w:szCs w:val="24"/>
          <w:rtl/>
        </w:rPr>
        <w:t>דרורי</w:t>
      </w:r>
      <w:r w:rsidRPr="00643EF4">
        <w:rPr>
          <w:rtl/>
        </w:rPr>
        <w:t xml:space="preserve">, בעמ' 207; </w:t>
      </w:r>
      <w:r w:rsidRPr="00643EF4">
        <w:rPr>
          <w:rFonts w:ascii="Century" w:hAnsi="Century" w:cs="Miriam" w:hint="eastAsia"/>
          <w:b/>
          <w:spacing w:val="0"/>
          <w:szCs w:val="24"/>
          <w:rtl/>
        </w:rPr>
        <w:t>המשפט</w:t>
      </w:r>
      <w:r w:rsidRPr="00643EF4">
        <w:rPr>
          <w:rFonts w:ascii="Century" w:hAnsi="Century" w:cs="Miriam"/>
          <w:b/>
          <w:spacing w:val="0"/>
          <w:szCs w:val="24"/>
          <w:rtl/>
        </w:rPr>
        <w:t xml:space="preserve"> </w:t>
      </w:r>
      <w:r w:rsidRPr="00643EF4">
        <w:rPr>
          <w:rFonts w:ascii="Century" w:hAnsi="Century" w:cs="Miriam" w:hint="eastAsia"/>
          <w:b/>
          <w:spacing w:val="0"/>
          <w:szCs w:val="24"/>
          <w:rtl/>
        </w:rPr>
        <w:t>בשטחים</w:t>
      </w:r>
      <w:r w:rsidRPr="00643EF4">
        <w:rPr>
          <w:rFonts w:ascii="Century" w:hAnsi="Century" w:cs="Miriam"/>
          <w:b/>
          <w:spacing w:val="0"/>
          <w:szCs w:val="24"/>
          <w:rtl/>
        </w:rPr>
        <w:t xml:space="preserve"> </w:t>
      </w:r>
      <w:r w:rsidRPr="00643EF4">
        <w:rPr>
          <w:rFonts w:ascii="Century" w:hAnsi="Century" w:cs="Miriam" w:hint="eastAsia"/>
          <w:b/>
          <w:spacing w:val="0"/>
          <w:szCs w:val="24"/>
          <w:rtl/>
        </w:rPr>
        <w:t>המוחזקים</w:t>
      </w:r>
      <w:r w:rsidRPr="00643EF4">
        <w:rPr>
          <w:rtl/>
        </w:rPr>
        <w:t xml:space="preserve">, </w:t>
      </w:r>
      <w:r w:rsidRPr="00643EF4">
        <w:rPr>
          <w:rFonts w:hint="eastAsia"/>
          <w:rtl/>
        </w:rPr>
        <w:t>בעמ</w:t>
      </w:r>
      <w:r w:rsidRPr="00643EF4">
        <w:rPr>
          <w:rtl/>
        </w:rPr>
        <w:t xml:space="preserve">' 544; </w:t>
      </w:r>
      <w:r w:rsidRPr="00643EF4">
        <w:rPr>
          <w:rFonts w:hint="eastAsia"/>
          <w:rtl/>
        </w:rPr>
        <w:t>ראו</w:t>
      </w:r>
      <w:r w:rsidRPr="00643EF4">
        <w:rPr>
          <w:rtl/>
        </w:rPr>
        <w:t xml:space="preserve"> </w:t>
      </w:r>
      <w:r w:rsidRPr="00643EF4">
        <w:rPr>
          <w:rFonts w:hint="eastAsia"/>
          <w:rtl/>
        </w:rPr>
        <w:t>עוד</w:t>
      </w:r>
      <w:r w:rsidRPr="00643EF4">
        <w:rPr>
          <w:rtl/>
        </w:rPr>
        <w:t xml:space="preserve"> </w:t>
      </w:r>
      <w:r w:rsidRPr="00643EF4">
        <w:rPr>
          <w:rFonts w:hint="eastAsia"/>
          <w:rtl/>
        </w:rPr>
        <w:t>איל</w:t>
      </w:r>
      <w:r w:rsidRPr="00643EF4">
        <w:rPr>
          <w:rtl/>
        </w:rPr>
        <w:t xml:space="preserve"> זמיר </w:t>
      </w:r>
      <w:r w:rsidRPr="00643EF4">
        <w:rPr>
          <w:rFonts w:ascii="Century" w:hAnsi="Century" w:cs="Miriam" w:hint="eastAsia"/>
          <w:b/>
          <w:spacing w:val="0"/>
          <w:szCs w:val="24"/>
          <w:rtl/>
        </w:rPr>
        <w:t>אדמות</w:t>
      </w:r>
      <w:r w:rsidRPr="00643EF4">
        <w:rPr>
          <w:rFonts w:ascii="Century" w:hAnsi="Century" w:cs="Miriam"/>
          <w:b/>
          <w:spacing w:val="0"/>
          <w:szCs w:val="24"/>
          <w:rtl/>
        </w:rPr>
        <w:t xml:space="preserve"> </w:t>
      </w:r>
      <w:r w:rsidRPr="00643EF4">
        <w:rPr>
          <w:rFonts w:ascii="Century" w:hAnsi="Century" w:cs="Miriam" w:hint="eastAsia"/>
          <w:b/>
          <w:spacing w:val="0"/>
          <w:szCs w:val="24"/>
          <w:rtl/>
        </w:rPr>
        <w:t>המדינה</w:t>
      </w:r>
      <w:r w:rsidRPr="00643EF4">
        <w:rPr>
          <w:rFonts w:ascii="Century" w:hAnsi="Century" w:cs="Miriam" w:hint="cs"/>
          <w:b/>
          <w:spacing w:val="0"/>
          <w:szCs w:val="24"/>
          <w:rtl/>
        </w:rPr>
        <w:t xml:space="preserve"> ביהודה ושומרון</w:t>
      </w:r>
      <w:r w:rsidRPr="00643EF4">
        <w:rPr>
          <w:rFonts w:ascii="Century" w:hAnsi="Century" w:hint="cs"/>
          <w:rtl/>
        </w:rPr>
        <w:t xml:space="preserve"> 2 (1985) (להלן: </w:t>
      </w:r>
      <w:r w:rsidRPr="00643EF4">
        <w:rPr>
          <w:rFonts w:ascii="Century" w:hAnsi="Century" w:cs="Miriam" w:hint="cs"/>
          <w:b/>
          <w:spacing w:val="0"/>
          <w:szCs w:val="24"/>
          <w:rtl/>
        </w:rPr>
        <w:t>אי</w:t>
      </w:r>
      <w:r w:rsidRPr="00643EF4">
        <w:rPr>
          <w:rFonts w:ascii="Century" w:hAnsi="Century" w:cs="Miriam" w:hint="eastAsia"/>
          <w:b/>
          <w:spacing w:val="0"/>
          <w:szCs w:val="24"/>
          <w:rtl/>
        </w:rPr>
        <w:t>ל</w:t>
      </w:r>
      <w:r w:rsidRPr="00643EF4">
        <w:rPr>
          <w:rFonts w:ascii="Century" w:hAnsi="Century" w:cs="Miriam"/>
          <w:b/>
          <w:spacing w:val="0"/>
          <w:szCs w:val="24"/>
          <w:rtl/>
        </w:rPr>
        <w:t xml:space="preserve"> </w:t>
      </w:r>
      <w:r w:rsidRPr="00643EF4">
        <w:rPr>
          <w:rFonts w:ascii="Century" w:hAnsi="Century" w:cs="Miriam" w:hint="cs"/>
          <w:b/>
          <w:spacing w:val="0"/>
          <w:szCs w:val="24"/>
          <w:rtl/>
        </w:rPr>
        <w:t>זמיר</w:t>
      </w:r>
      <w:r w:rsidRPr="00643EF4">
        <w:rPr>
          <w:rFonts w:ascii="Century" w:hAnsi="Century" w:hint="cs"/>
          <w:rtl/>
        </w:rPr>
        <w:t>)</w:t>
      </w:r>
      <w:r w:rsidRPr="00643EF4">
        <w:rPr>
          <w:rFonts w:hint="cs"/>
          <w:rtl/>
        </w:rPr>
        <w:t>;</w:t>
      </w:r>
      <w:r w:rsidRPr="00643EF4">
        <w:t xml:space="preserve"> </w:t>
      </w:r>
      <w:r w:rsidRPr="00643EF4">
        <w:rPr>
          <w:rFonts w:ascii="Century" w:hAnsi="Century"/>
          <w:szCs w:val="22"/>
        </w:rPr>
        <w:t>Adam S</w:t>
      </w:r>
      <w:r w:rsidRPr="00643EF4">
        <w:rPr>
          <w:rFonts w:ascii="Century" w:hAnsi="Century"/>
        </w:rPr>
        <w:t xml:space="preserve">hinar, </w:t>
      </w:r>
      <w:r w:rsidRPr="00643EF4">
        <w:rPr>
          <w:rFonts w:ascii="Century" w:hAnsi="Century"/>
          <w:i/>
          <w:iCs/>
        </w:rPr>
        <w:t>Israel’s External Constitution: Friends, Enemies, and the Constitutional/Administrative Law Distinction</w:t>
      </w:r>
      <w:r w:rsidRPr="00643EF4">
        <w:rPr>
          <w:rFonts w:ascii="Century" w:hAnsi="Century"/>
        </w:rPr>
        <w:t xml:space="preserve">, 57(3) </w:t>
      </w:r>
      <w:r w:rsidRPr="00643EF4">
        <w:rPr>
          <w:rFonts w:ascii="Century" w:hAnsi="Century" w:cs="Garamond"/>
          <w:spacing w:val="0"/>
          <w:sz w:val="23"/>
          <w:szCs w:val="23"/>
        </w:rPr>
        <w:t>V</w:t>
      </w:r>
      <w:r w:rsidRPr="00643EF4">
        <w:rPr>
          <w:rFonts w:ascii="Century" w:hAnsi="Century" w:cs="Garamond"/>
          <w:spacing w:val="0"/>
          <w:sz w:val="18"/>
          <w:szCs w:val="18"/>
        </w:rPr>
        <w:t xml:space="preserve">A. </w:t>
      </w:r>
      <w:r w:rsidRPr="00643EF4">
        <w:rPr>
          <w:rFonts w:ascii="Century" w:hAnsi="Century" w:cs="Garamond"/>
          <w:spacing w:val="0"/>
          <w:sz w:val="23"/>
          <w:szCs w:val="23"/>
        </w:rPr>
        <w:t>J. I</w:t>
      </w:r>
      <w:r w:rsidRPr="00643EF4">
        <w:rPr>
          <w:rFonts w:ascii="Century" w:hAnsi="Century" w:cs="Garamond"/>
          <w:spacing w:val="0"/>
          <w:sz w:val="18"/>
          <w:szCs w:val="18"/>
        </w:rPr>
        <w:t xml:space="preserve">NT'L </w:t>
      </w:r>
      <w:r w:rsidRPr="00643EF4">
        <w:rPr>
          <w:rFonts w:ascii="Century" w:hAnsi="Century" w:cs="Garamond"/>
          <w:spacing w:val="0"/>
          <w:sz w:val="23"/>
          <w:szCs w:val="23"/>
        </w:rPr>
        <w:t>L</w:t>
      </w:r>
      <w:r w:rsidRPr="00643EF4">
        <w:rPr>
          <w:rFonts w:ascii="Century" w:hAnsi="Century" w:cs="Garamond"/>
          <w:spacing w:val="0"/>
          <w:sz w:val="18"/>
          <w:szCs w:val="18"/>
        </w:rPr>
        <w:t xml:space="preserve">. </w:t>
      </w:r>
      <w:r w:rsidRPr="00643EF4">
        <w:rPr>
          <w:rFonts w:ascii="Century" w:hAnsi="Century"/>
        </w:rPr>
        <w:t>735 (2018)</w:t>
      </w:r>
      <w:r w:rsidRPr="00643EF4">
        <w:rPr>
          <w:rFonts w:hint="cs"/>
          <w:rtl/>
        </w:rPr>
        <w:t>).</w:t>
      </w:r>
    </w:p>
    <w:p w14:paraId="39CA92B6" w14:textId="77777777" w:rsidR="000E5D20" w:rsidRPr="00643EF4" w:rsidRDefault="000E5D20" w:rsidP="000E5D20">
      <w:pPr>
        <w:pStyle w:val="Ruller4"/>
        <w:numPr>
          <w:ilvl w:val="0"/>
          <w:numId w:val="0"/>
        </w:numPr>
        <w:rPr>
          <w:rFonts w:ascii="Century" w:hAnsi="Century"/>
          <w:sz w:val="22"/>
        </w:rPr>
      </w:pPr>
    </w:p>
    <w:p w14:paraId="2B6B2802" w14:textId="789BF1F2" w:rsidR="000E5D20" w:rsidRPr="00643EF4" w:rsidRDefault="000E5D20" w:rsidP="00E35BD2">
      <w:pPr>
        <w:pStyle w:val="Ruller4"/>
        <w:tabs>
          <w:tab w:val="num" w:pos="10307"/>
        </w:tabs>
        <w:rPr>
          <w:rFonts w:ascii="Century" w:hAnsi="Century"/>
          <w:sz w:val="22"/>
        </w:rPr>
      </w:pPr>
      <w:r w:rsidRPr="00643EF4">
        <w:rPr>
          <w:rFonts w:ascii="Century" w:hAnsi="Century" w:hint="cs"/>
          <w:sz w:val="22"/>
          <w:rtl/>
        </w:rPr>
        <w:t xml:space="preserve">מקור נוסף של דינים החלים באזור </w:t>
      </w:r>
      <w:r w:rsidR="00E35BD2" w:rsidRPr="00643EF4">
        <w:rPr>
          <w:rFonts w:ascii="Century" w:hAnsi="Century" w:hint="cs"/>
          <w:sz w:val="22"/>
          <w:rtl/>
        </w:rPr>
        <w:t xml:space="preserve">הוא </w:t>
      </w:r>
      <w:r w:rsidRPr="00643EF4">
        <w:rPr>
          <w:rFonts w:ascii="Century" w:hAnsi="Century" w:hint="cs"/>
          <w:sz w:val="22"/>
          <w:rtl/>
        </w:rPr>
        <w:t xml:space="preserve">עקרונות היסוד של המשפט המינהלי הישראלי, הנוגעים לשימוש בסמכות שלטונית של עובד ציבור. בין היתר, מדובר בכללים של הגינות מהותית ודיונית ובכללי מידתיות המחייבים את המפקד הצבאי בפעולתו (עניין </w:t>
      </w:r>
      <w:r w:rsidRPr="00643EF4">
        <w:rPr>
          <w:rFonts w:ascii="Century" w:hAnsi="Century" w:cs="Miriam" w:hint="cs"/>
          <w:b/>
          <w:spacing w:val="0"/>
          <w:sz w:val="22"/>
          <w:szCs w:val="24"/>
          <w:rtl/>
        </w:rPr>
        <w:t>ג'מעית אסכאן</w:t>
      </w:r>
      <w:r w:rsidRPr="00643EF4">
        <w:rPr>
          <w:rFonts w:ascii="Century" w:hAnsi="Century" w:hint="cs"/>
          <w:sz w:val="22"/>
          <w:rtl/>
        </w:rPr>
        <w:t xml:space="preserve">, בעמ' 793-792, ובעמ' 810; עניין </w:t>
      </w:r>
      <w:r w:rsidRPr="00643EF4">
        <w:rPr>
          <w:rFonts w:ascii="Century" w:hAnsi="Century" w:cs="Miriam" w:hint="cs"/>
          <w:b/>
          <w:spacing w:val="0"/>
          <w:sz w:val="22"/>
          <w:szCs w:val="24"/>
          <w:rtl/>
        </w:rPr>
        <w:t>מראעבה</w:t>
      </w:r>
      <w:r w:rsidRPr="00643EF4">
        <w:rPr>
          <w:rFonts w:ascii="Century" w:hAnsi="Century" w:hint="cs"/>
          <w:sz w:val="22"/>
          <w:rtl/>
        </w:rPr>
        <w:t xml:space="preserve">, </w:t>
      </w:r>
      <w:r w:rsidRPr="00643EF4">
        <w:rPr>
          <w:rFonts w:ascii="Century" w:hAnsi="Century" w:hint="eastAsia"/>
          <w:sz w:val="22"/>
          <w:rtl/>
        </w:rPr>
        <w:t>בעמ</w:t>
      </w:r>
      <w:r w:rsidRPr="00643EF4">
        <w:rPr>
          <w:rFonts w:ascii="Century" w:hAnsi="Century"/>
          <w:sz w:val="22"/>
          <w:rtl/>
        </w:rPr>
        <w:t>' 492</w:t>
      </w:r>
      <w:r w:rsidRPr="00643EF4">
        <w:rPr>
          <w:rFonts w:ascii="Century" w:hAnsi="Century" w:hint="cs"/>
          <w:sz w:val="22"/>
          <w:rtl/>
        </w:rPr>
        <w:t xml:space="preserve">; עניין </w:t>
      </w:r>
      <w:r w:rsidRPr="00643EF4">
        <w:rPr>
          <w:rFonts w:ascii="Century" w:hAnsi="Century" w:cs="Miriam" w:hint="cs"/>
          <w:b/>
          <w:spacing w:val="0"/>
          <w:sz w:val="22"/>
          <w:szCs w:val="24"/>
          <w:rtl/>
        </w:rPr>
        <w:t>חוף עזה</w:t>
      </w:r>
      <w:r w:rsidRPr="00643EF4">
        <w:rPr>
          <w:rFonts w:ascii="Century" w:hAnsi="Century" w:hint="cs"/>
          <w:sz w:val="22"/>
          <w:rtl/>
        </w:rPr>
        <w:t xml:space="preserve">, בעמ' 520-519). תחולתם של עקרונות אלה אין בה משום החלה של המשפט הישראלי באזור ועל תושביו. משמעות החלתם היא כי נושאי תפקיד ישראלים הפועלים </w:t>
      </w:r>
      <w:r w:rsidRPr="00643EF4">
        <w:rPr>
          <w:rFonts w:ascii="Century" w:hAnsi="Century" w:hint="cs"/>
          <w:sz w:val="22"/>
          <w:rtl/>
        </w:rPr>
        <w:lastRenderedPageBreak/>
        <w:t xml:space="preserve">בשטח נושאים עמם חובה לנהוג על פי אמות המידה </w:t>
      </w:r>
      <w:r w:rsidRPr="00643EF4">
        <w:rPr>
          <w:rFonts w:ascii="Century" w:hAnsi="Century" w:cs="Miriam" w:hint="cs"/>
          <w:b/>
          <w:spacing w:val="0"/>
          <w:sz w:val="22"/>
          <w:szCs w:val="24"/>
          <w:rtl/>
        </w:rPr>
        <w:t>הנוספות</w:t>
      </w:r>
      <w:r w:rsidRPr="00643EF4">
        <w:rPr>
          <w:rFonts w:ascii="Century" w:hAnsi="Century" w:hint="cs"/>
          <w:sz w:val="22"/>
          <w:rtl/>
        </w:rPr>
        <w:t xml:space="preserve"> המתחייבות מעובדת היותם חלק מהרשות המינהלית הישראלית (עניין </w:t>
      </w:r>
      <w:r w:rsidRPr="00643EF4">
        <w:rPr>
          <w:rFonts w:ascii="Century" w:hAnsi="Century" w:cs="Miriam" w:hint="cs"/>
          <w:b/>
          <w:spacing w:val="0"/>
          <w:sz w:val="22"/>
          <w:szCs w:val="24"/>
          <w:rtl/>
        </w:rPr>
        <w:t>אבו עיטה</w:t>
      </w:r>
      <w:r w:rsidRPr="00643EF4">
        <w:rPr>
          <w:rFonts w:ascii="Century" w:hAnsi="Century" w:hint="cs"/>
          <w:sz w:val="22"/>
          <w:rtl/>
        </w:rPr>
        <w:t xml:space="preserve">, בעמ' 231). </w:t>
      </w:r>
    </w:p>
    <w:p w14:paraId="48EAB10A" w14:textId="77777777" w:rsidR="000E5D20" w:rsidRPr="00643EF4" w:rsidRDefault="000E5D20" w:rsidP="000E5D20">
      <w:pPr>
        <w:pStyle w:val="Ruller4"/>
        <w:numPr>
          <w:ilvl w:val="0"/>
          <w:numId w:val="0"/>
        </w:numPr>
        <w:rPr>
          <w:rtl/>
        </w:rPr>
      </w:pPr>
    </w:p>
    <w:p w14:paraId="6E969E14" w14:textId="77777777" w:rsidR="000E5D20" w:rsidRPr="00643EF4" w:rsidRDefault="000E5D20" w:rsidP="000E5D20">
      <w:pPr>
        <w:pStyle w:val="Ruller4"/>
        <w:tabs>
          <w:tab w:val="num" w:pos="10307"/>
        </w:tabs>
        <w:rPr>
          <w:rFonts w:ascii="Century" w:hAnsi="Century"/>
          <w:sz w:val="22"/>
          <w:rtl/>
        </w:rPr>
      </w:pPr>
      <w:r w:rsidRPr="00643EF4">
        <w:rPr>
          <w:rFonts w:hint="cs"/>
          <w:rtl/>
        </w:rPr>
        <w:t xml:space="preserve">היוצא מן האמור הוא כי הכללים המשפטיים החלים באזור מורכבים מרבדים של מקורות נורמטיביים ובהם: כללי </w:t>
      </w:r>
      <w:r w:rsidRPr="00643EF4">
        <w:rPr>
          <w:rFonts w:ascii="FrankRuehl" w:hAnsi="FrankRuehl"/>
          <w:sz w:val="28"/>
          <w:rtl/>
        </w:rPr>
        <w:t>המשפט הבינלאומי הפומבי</w:t>
      </w:r>
      <w:r w:rsidRPr="00643EF4">
        <w:rPr>
          <w:rFonts w:ascii="FrankRuehl" w:hAnsi="FrankRuehl" w:hint="cs"/>
          <w:sz w:val="28"/>
          <w:rtl/>
        </w:rPr>
        <w:t>,</w:t>
      </w:r>
      <w:r w:rsidRPr="00643EF4">
        <w:rPr>
          <w:rFonts w:ascii="FrankRuehl" w:hAnsi="FrankRuehl"/>
          <w:sz w:val="28"/>
          <w:rtl/>
        </w:rPr>
        <w:t xml:space="preserve"> ובעיקר דיני התפיסה הלוחמתית; הדין המקומי שהיה קיים באזור </w:t>
      </w:r>
      <w:r w:rsidRPr="00643EF4">
        <w:rPr>
          <w:rFonts w:ascii="FrankRuehl" w:hAnsi="FrankRuehl" w:hint="cs"/>
          <w:sz w:val="28"/>
          <w:rtl/>
        </w:rPr>
        <w:t xml:space="preserve">ערב </w:t>
      </w:r>
      <w:r w:rsidRPr="00643EF4">
        <w:rPr>
          <w:rFonts w:ascii="FrankRuehl" w:hAnsi="FrankRuehl"/>
          <w:sz w:val="28"/>
          <w:rtl/>
        </w:rPr>
        <w:t>כניסת כוחות צה"ל</w:t>
      </w:r>
      <w:r w:rsidRPr="00643EF4">
        <w:rPr>
          <w:rFonts w:ascii="FrankRuehl" w:hAnsi="FrankRuehl" w:hint="cs"/>
          <w:sz w:val="28"/>
          <w:rtl/>
        </w:rPr>
        <w:t xml:space="preserve"> לאזור</w:t>
      </w:r>
      <w:r w:rsidRPr="00643EF4">
        <w:rPr>
          <w:rFonts w:ascii="FrankRuehl" w:hAnsi="FrankRuehl"/>
          <w:sz w:val="28"/>
          <w:rtl/>
        </w:rPr>
        <w:t>; תחיקת הביטחון של המפקד הצבאי; וכן עקרונות היסוד של המשפט המינהלי הישראלי</w:t>
      </w:r>
      <w:r w:rsidRPr="00643EF4">
        <w:rPr>
          <w:rFonts w:ascii="FrankRuehl" w:hAnsi="FrankRuehl" w:hint="cs"/>
          <w:sz w:val="28"/>
          <w:rtl/>
        </w:rPr>
        <w:t>.</w:t>
      </w:r>
      <w:r w:rsidRPr="00643EF4">
        <w:rPr>
          <w:rFonts w:hint="cs"/>
          <w:rtl/>
        </w:rPr>
        <w:t xml:space="preserve"> פעולותיו של המפקד הצבאי באזור כזרוע של הרשות המבצעת בכל הנוגע לקביעה וליישום של הכללים המשפטיים האמורים, נתונות לביקורת שיפוטית (על מקור סמכותו של בית המשפט בהקשר זה עמד השופט (כתוארו אז) </w:t>
      </w:r>
      <w:r w:rsidRPr="00643EF4">
        <w:rPr>
          <w:rFonts w:ascii="Century" w:hAnsi="Century" w:cs="Miriam" w:hint="cs"/>
          <w:b/>
          <w:spacing w:val="0"/>
          <w:sz w:val="22"/>
          <w:szCs w:val="24"/>
          <w:rtl/>
        </w:rPr>
        <w:t>א' ברק</w:t>
      </w:r>
      <w:r w:rsidRPr="00643EF4">
        <w:rPr>
          <w:rFonts w:hint="cs"/>
          <w:rtl/>
        </w:rPr>
        <w:t xml:space="preserve"> בעניין </w:t>
      </w:r>
      <w:r w:rsidRPr="00643EF4">
        <w:rPr>
          <w:rFonts w:ascii="Century" w:hAnsi="Century" w:cs="Miriam" w:hint="cs"/>
          <w:b/>
          <w:spacing w:val="0"/>
          <w:sz w:val="22"/>
          <w:szCs w:val="24"/>
          <w:rtl/>
        </w:rPr>
        <w:t>ג'מעית אסכאן</w:t>
      </w:r>
      <w:r w:rsidRPr="00643EF4">
        <w:rPr>
          <w:rFonts w:hint="cs"/>
          <w:rtl/>
        </w:rPr>
        <w:t xml:space="preserve">, בעמ' 810-809; וראו לעניין זה את סעיף 15(ד) לחוק-יסוד: השפיטה וכן סעיף 5א לחוק בתי משפט לענינים מינהליים, התש"ס-2000). </w:t>
      </w:r>
    </w:p>
    <w:p w14:paraId="6F3B7DD3" w14:textId="3CBD2157" w:rsidR="000E5D20" w:rsidRPr="00643EF4" w:rsidRDefault="000E5D20" w:rsidP="000E5D20">
      <w:pPr>
        <w:pStyle w:val="Ruller41"/>
      </w:pPr>
    </w:p>
    <w:p w14:paraId="357D4346"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ההתיישבות הישראלית באזור</w:t>
      </w:r>
    </w:p>
    <w:p w14:paraId="218AACFF" w14:textId="77777777" w:rsidR="000E5D20" w:rsidRPr="00643EF4" w:rsidRDefault="000E5D20" w:rsidP="000E5D20">
      <w:pPr>
        <w:pStyle w:val="Ruller41"/>
        <w:rPr>
          <w:rtl/>
        </w:rPr>
      </w:pPr>
    </w:p>
    <w:p w14:paraId="601B80EF" w14:textId="77777777" w:rsidR="000E5D20" w:rsidRPr="00643EF4" w:rsidRDefault="000E5D20" w:rsidP="000E5D20">
      <w:pPr>
        <w:pStyle w:val="Ruller4"/>
        <w:tabs>
          <w:tab w:val="num" w:pos="10307"/>
        </w:tabs>
        <w:rPr>
          <w:rtl/>
        </w:rPr>
      </w:pPr>
      <w:r w:rsidRPr="00643EF4">
        <w:rPr>
          <w:rFonts w:hint="cs"/>
          <w:rtl/>
        </w:rPr>
        <w:t xml:space="preserve">ההתיישבות הישראלית באזור החלה זמן קצר לאחר שהשטח נתפס על ידי המפקד הצבאי. על התפתחותה של התיישבות זו ועל הסוגיות המשפטיות שהתעוררו בעקבות כך נעמוד בהמשך. בפתח הדברים יצוין כי על הישראלים המתגוררים באזור חלים, פרט לכללים המשפטיים שפורטו לעיל, גם רבדים נורמטיביים נוספים ובהם חקיקה </w:t>
      </w:r>
      <w:r w:rsidRPr="00643EF4">
        <w:rPr>
          <w:rFonts w:ascii="Century" w:hAnsi="Century" w:cs="Miriam" w:hint="cs"/>
          <w:b/>
          <w:spacing w:val="0"/>
          <w:szCs w:val="24"/>
          <w:rtl/>
        </w:rPr>
        <w:t>מפורשת</w:t>
      </w:r>
      <w:r w:rsidRPr="00643EF4">
        <w:rPr>
          <w:rFonts w:hint="cs"/>
          <w:rtl/>
        </w:rPr>
        <w:t xml:space="preserve"> של הכנסת הקובעת תחולה </w:t>
      </w:r>
      <w:r w:rsidRPr="00643EF4">
        <w:rPr>
          <w:rFonts w:ascii="Century" w:hAnsi="Century" w:cs="Miriam" w:hint="cs"/>
          <w:b/>
          <w:spacing w:val="0"/>
          <w:szCs w:val="24"/>
          <w:rtl/>
        </w:rPr>
        <w:t>פרסונאלית</w:t>
      </w:r>
      <w:r w:rsidRPr="00643EF4">
        <w:rPr>
          <w:rFonts w:hint="cs"/>
          <w:rtl/>
        </w:rPr>
        <w:t xml:space="preserve"> חוץ טריטוריאלית של דברי חקיקה מסוימים על ישראלים המתגוררים באזור וכן חקיקת המפקד הצבאי אשר חלה רק בתחומי הישובים הישראלים באזור (המכונה "משפט המובלעות") (אמנון רובינשטיין "מעמדם המשתנה של ה'שטחים': מפקדון מוחזק ליצור כלאיים משפטי" </w:t>
      </w:r>
      <w:r w:rsidRPr="00643EF4">
        <w:rPr>
          <w:rFonts w:ascii="Century" w:hAnsi="Century" w:cs="Miriam" w:hint="cs"/>
          <w:b/>
          <w:spacing w:val="0"/>
          <w:szCs w:val="24"/>
          <w:rtl/>
        </w:rPr>
        <w:t>עיוני משפט</w:t>
      </w:r>
      <w:r w:rsidRPr="00643EF4">
        <w:rPr>
          <w:rFonts w:ascii="Century" w:hAnsi="Century" w:hint="cs"/>
          <w:rtl/>
        </w:rPr>
        <w:t xml:space="preserve"> יא(3) 439, 450-448 (1986) (להלן: </w:t>
      </w:r>
      <w:r w:rsidRPr="00643EF4">
        <w:rPr>
          <w:rFonts w:ascii="Century" w:hAnsi="Century" w:cs="Miriam" w:hint="cs"/>
          <w:b/>
          <w:spacing w:val="0"/>
          <w:szCs w:val="24"/>
          <w:rtl/>
        </w:rPr>
        <w:t>רובינשטיין</w:t>
      </w:r>
      <w:r w:rsidRPr="00643EF4">
        <w:rPr>
          <w:rFonts w:ascii="Century" w:hAnsi="Century" w:hint="cs"/>
          <w:rtl/>
        </w:rPr>
        <w:t>)</w:t>
      </w:r>
      <w:r w:rsidRPr="00643EF4">
        <w:rPr>
          <w:rFonts w:hint="cs"/>
          <w:rtl/>
        </w:rPr>
        <w:t xml:space="preserve">; </w:t>
      </w:r>
      <w:r w:rsidRPr="00643EF4">
        <w:rPr>
          <w:rFonts w:ascii="Century" w:hAnsi="Century" w:cs="Miriam" w:hint="cs"/>
          <w:b/>
          <w:spacing w:val="0"/>
          <w:sz w:val="22"/>
          <w:szCs w:val="24"/>
          <w:rtl/>
        </w:rPr>
        <w:t>גרוס</w:t>
      </w:r>
      <w:r w:rsidRPr="00643EF4">
        <w:rPr>
          <w:rFonts w:ascii="Century" w:hAnsi="Century" w:hint="cs"/>
          <w:sz w:val="22"/>
          <w:rtl/>
        </w:rPr>
        <w:t>, בעמ' 176-172</w:t>
      </w:r>
      <w:r w:rsidRPr="00643EF4">
        <w:rPr>
          <w:rFonts w:hint="cs"/>
          <w:rtl/>
        </w:rPr>
        <w:t>).</w:t>
      </w:r>
    </w:p>
    <w:p w14:paraId="1A2E49E9" w14:textId="77777777" w:rsidR="000E5D20" w:rsidRPr="00643EF4" w:rsidRDefault="000E5D20" w:rsidP="000E5D20">
      <w:pPr>
        <w:pStyle w:val="Ruller41"/>
      </w:pPr>
    </w:p>
    <w:p w14:paraId="7CD6377F" w14:textId="77777777" w:rsidR="000E5D20" w:rsidRPr="00643EF4" w:rsidRDefault="000E5D20" w:rsidP="000E5D20">
      <w:pPr>
        <w:pStyle w:val="Ruller4"/>
        <w:tabs>
          <w:tab w:val="num" w:pos="10307"/>
        </w:tabs>
      </w:pPr>
      <w:r w:rsidRPr="00643EF4">
        <w:rPr>
          <w:rFonts w:hint="cs"/>
          <w:rtl/>
        </w:rPr>
        <w:t xml:space="preserve">ההתיישבות הישראלית באזור התפתחה ביוזמה ממשלתית ופרטית כאחד. ישובים רבים הוקמו על "אדמות מדינה", כלומר אדמות שאינן בבעלות פרטית </w:t>
      </w:r>
      <w:r w:rsidRPr="00643EF4">
        <w:rPr>
          <w:rFonts w:ascii="Century" w:hAnsi="Century" w:hint="cs"/>
          <w:sz w:val="22"/>
          <w:rtl/>
        </w:rPr>
        <w:t xml:space="preserve">ואשר ניהולן הופקד עקב התפיסה הלוחמתית בידי הממונה על הרכוש הממשלתי (ראו </w:t>
      </w:r>
      <w:r w:rsidRPr="00643EF4">
        <w:rPr>
          <w:rFonts w:hint="cs"/>
          <w:rtl/>
        </w:rPr>
        <w:t xml:space="preserve">צו בדבר רכוש ממשלתי (יהודה והשומרון) (מס' 59), התשכ"ז-1967 (להלן: </w:t>
      </w:r>
      <w:r w:rsidRPr="00643EF4">
        <w:rPr>
          <w:rFonts w:ascii="Century" w:hAnsi="Century" w:cs="Miriam" w:hint="cs"/>
          <w:b/>
          <w:spacing w:val="0"/>
          <w:sz w:val="22"/>
          <w:szCs w:val="24"/>
          <w:rtl/>
        </w:rPr>
        <w:t>הצו בדבר רכוש ממשלתי</w:t>
      </w:r>
      <w:r w:rsidRPr="00643EF4">
        <w:rPr>
          <w:rFonts w:hint="cs"/>
          <w:rtl/>
        </w:rPr>
        <w:t xml:space="preserve"> ו</w:t>
      </w:r>
      <w:r w:rsidRPr="00643EF4">
        <w:rPr>
          <w:rFonts w:ascii="Century" w:hAnsi="Century" w:cs="Miriam" w:hint="cs"/>
          <w:b/>
          <w:spacing w:val="0"/>
          <w:sz w:val="22"/>
          <w:szCs w:val="24"/>
          <w:rtl/>
        </w:rPr>
        <w:t>הממונה</w:t>
      </w:r>
      <w:r w:rsidRPr="00643EF4">
        <w:rPr>
          <w:rFonts w:hint="cs"/>
          <w:rtl/>
        </w:rPr>
        <w:t xml:space="preserve">); עוד ראו עניין </w:t>
      </w:r>
      <w:r w:rsidRPr="00643EF4">
        <w:rPr>
          <w:rFonts w:ascii="Century" w:hAnsi="Century" w:cs="Miriam" w:hint="cs"/>
          <w:b/>
          <w:spacing w:val="0"/>
          <w:sz w:val="22"/>
          <w:szCs w:val="24"/>
          <w:rtl/>
        </w:rPr>
        <w:t>חוף עזה</w:t>
      </w:r>
      <w:r w:rsidRPr="00643EF4">
        <w:rPr>
          <w:rFonts w:ascii="Century" w:hAnsi="Century" w:hint="cs"/>
          <w:sz w:val="22"/>
          <w:rtl/>
        </w:rPr>
        <w:t>, בעמ' 524).</w:t>
      </w:r>
      <w:r w:rsidRPr="00643EF4">
        <w:rPr>
          <w:rFonts w:hint="cs"/>
          <w:rtl/>
        </w:rPr>
        <w:t xml:space="preserve"> חלק קטן מהישובים </w:t>
      </w:r>
      <w:r w:rsidRPr="00643EF4">
        <w:rPr>
          <w:rFonts w:ascii="Century" w:hAnsi="Century" w:hint="cs"/>
          <w:sz w:val="22"/>
          <w:rtl/>
        </w:rPr>
        <w:t>הוקם על אדמות פרטיות בבעלות יהודים שנרכשו לפני הקמת המדינה או לאחר מלחמת ששת הימים</w:t>
      </w:r>
      <w:r w:rsidRPr="00643EF4">
        <w:rPr>
          <w:rFonts w:hint="cs"/>
          <w:rtl/>
        </w:rPr>
        <w:t xml:space="preserve"> (ראו איל זמיר ואיל בנבנשתי </w:t>
      </w:r>
      <w:r w:rsidRPr="00643EF4">
        <w:rPr>
          <w:rFonts w:ascii="Century" w:hAnsi="Century" w:cs="Miriam" w:hint="cs"/>
          <w:b/>
          <w:spacing w:val="0"/>
          <w:sz w:val="22"/>
          <w:szCs w:val="24"/>
          <w:rtl/>
        </w:rPr>
        <w:t>"אדמות-היהודים" ביהודה, שומרון, חבל עזה ומזרח ירושלים</w:t>
      </w:r>
      <w:r w:rsidRPr="00643EF4">
        <w:rPr>
          <w:rFonts w:ascii="Century" w:hAnsi="Century" w:hint="cs"/>
          <w:sz w:val="22"/>
          <w:rtl/>
        </w:rPr>
        <w:t xml:space="preserve"> 17 (1993))</w:t>
      </w:r>
      <w:r w:rsidRPr="00643EF4">
        <w:rPr>
          <w:rFonts w:hint="cs"/>
          <w:rtl/>
        </w:rPr>
        <w:t>. חלק אחר של הישובים הישראלים הוקם על מקרקעין בבעלות פלסטינית פרטית.</w:t>
      </w:r>
    </w:p>
    <w:p w14:paraId="411C0AC2" w14:textId="77777777" w:rsidR="000E5D20" w:rsidRPr="00643EF4" w:rsidRDefault="000E5D20" w:rsidP="000E5D20">
      <w:pPr>
        <w:pStyle w:val="Ruller4"/>
        <w:numPr>
          <w:ilvl w:val="0"/>
          <w:numId w:val="0"/>
        </w:numPr>
      </w:pPr>
    </w:p>
    <w:p w14:paraId="6BD5859F" w14:textId="77777777" w:rsidR="000E5D20" w:rsidRPr="00643EF4" w:rsidRDefault="000E5D20" w:rsidP="000E5D20">
      <w:pPr>
        <w:pStyle w:val="Ruller4"/>
        <w:tabs>
          <w:tab w:val="num" w:pos="10307"/>
        </w:tabs>
      </w:pPr>
      <w:r w:rsidRPr="00643EF4">
        <w:rPr>
          <w:rFonts w:hint="cs"/>
          <w:rtl/>
        </w:rPr>
        <w:lastRenderedPageBreak/>
        <w:t xml:space="preserve">בשנותיה הראשונות של ההתיישבות הישראלית באזור, נעשה שימוש בצווי תפיסה לצרכים צבאיים שהוציא המפקד הצבאי, מכוח סמכותו לפי תקנה 52 לתקנות האג, לשם הקמת יישובים ישראלים לרבות על אדמה פלסטינית פרטית, מתוך תפיסה כי הקמת היישובים בשטח משרתת צורך צבאי (בג"ץ 606/78 </w:t>
      </w:r>
      <w:r w:rsidRPr="00643EF4">
        <w:rPr>
          <w:rFonts w:ascii="Century" w:hAnsi="Century" w:cs="Miriam" w:hint="cs"/>
          <w:b/>
          <w:spacing w:val="0"/>
          <w:sz w:val="22"/>
          <w:szCs w:val="24"/>
          <w:rtl/>
        </w:rPr>
        <w:t>איוב נ' שר הביטחון</w:t>
      </w:r>
      <w:r w:rsidRPr="00643EF4">
        <w:rPr>
          <w:rFonts w:ascii="Century" w:hAnsi="Century" w:hint="cs"/>
          <w:sz w:val="22"/>
          <w:rtl/>
        </w:rPr>
        <w:t xml:space="preserve">, פ"ד לג(2) 113 (1979); בג"ץ 258/79 </w:t>
      </w:r>
      <w:r w:rsidRPr="00643EF4">
        <w:rPr>
          <w:rFonts w:ascii="Century" w:hAnsi="Century" w:cs="Miriam" w:hint="cs"/>
          <w:b/>
          <w:spacing w:val="0"/>
          <w:sz w:val="22"/>
          <w:szCs w:val="24"/>
          <w:rtl/>
        </w:rPr>
        <w:t>עמירה נ' שר הביטחון</w:t>
      </w:r>
      <w:r w:rsidRPr="00643EF4">
        <w:rPr>
          <w:rFonts w:ascii="Century" w:hAnsi="Century" w:hint="cs"/>
          <w:sz w:val="22"/>
          <w:rtl/>
        </w:rPr>
        <w:t>, פ"ד לד(1) 90 (1979)</w:t>
      </w:r>
      <w:r w:rsidRPr="00643EF4">
        <w:rPr>
          <w:rFonts w:hint="cs"/>
          <w:rtl/>
        </w:rPr>
        <w:t xml:space="preserve">; </w:t>
      </w:r>
      <w:r w:rsidRPr="00643EF4">
        <w:rPr>
          <w:rFonts w:ascii="Century" w:hAnsi="Century" w:hint="cs"/>
          <w:sz w:val="22"/>
          <w:rtl/>
        </w:rPr>
        <w:t xml:space="preserve">איל זמיר ואיל בנבנשתי "הקניין הפרטי בהסדר השלום הישראלי-פלסטיני" </w:t>
      </w:r>
      <w:r w:rsidRPr="00643EF4">
        <w:rPr>
          <w:rFonts w:ascii="Century" w:hAnsi="Century" w:cs="Miriam" w:hint="cs"/>
          <w:b/>
          <w:spacing w:val="0"/>
          <w:sz w:val="22"/>
          <w:szCs w:val="24"/>
          <w:rtl/>
        </w:rPr>
        <w:t>מקרקעין בישראל: בין הפרטי ללאומי</w:t>
      </w:r>
      <w:r w:rsidRPr="00643EF4">
        <w:rPr>
          <w:rFonts w:ascii="Century" w:hAnsi="Century" w:hint="cs"/>
          <w:sz w:val="22"/>
          <w:rtl/>
        </w:rPr>
        <w:t xml:space="preserve"> 577, 606 (1999))</w:t>
      </w:r>
      <w:r w:rsidRPr="00643EF4">
        <w:rPr>
          <w:rFonts w:hint="cs"/>
          <w:rtl/>
        </w:rPr>
        <w:t xml:space="preserve">. בשנת 1979, בפסק הדין בעניין </w:t>
      </w:r>
      <w:r w:rsidRPr="00643EF4">
        <w:rPr>
          <w:rFonts w:ascii="Century" w:hAnsi="Century" w:cs="Miriam" w:hint="cs"/>
          <w:b/>
          <w:spacing w:val="0"/>
          <w:sz w:val="22"/>
          <w:szCs w:val="24"/>
          <w:rtl/>
        </w:rPr>
        <w:t xml:space="preserve">דויקאת, </w:t>
      </w:r>
      <w:r w:rsidRPr="00643EF4">
        <w:rPr>
          <w:rFonts w:ascii="Century" w:hAnsi="Century" w:hint="cs"/>
          <w:sz w:val="22"/>
          <w:rtl/>
        </w:rPr>
        <w:t xml:space="preserve">בוטלה תפיסת מקרקעין שנועדה להקמת התיישבות אזרחית באלון מורה במבואות העיר שכם. נפסק כי בנסיבות אותו עניין לא הוכח שהצורך הצבאי הנטען אכן היה השיקול הדומיננטי בהחלטה להקים את היישוב על מקרקעין בבעלות פרטית. </w:t>
      </w:r>
      <w:r w:rsidRPr="00643EF4">
        <w:rPr>
          <w:rFonts w:hint="cs"/>
          <w:rtl/>
        </w:rPr>
        <w:t xml:space="preserve">לאחר החלטה זו חל שינוי במדיניות הממשלה בכל הנוגע להתיישבות הישראלית באזור ובשימוש שנעשה בפרקטיקה של תפיסת מקרקעין פרטיים בצווים צבאיים לצורך הקמת התיישבות אזרחית (עמיחי כהן "סופו של נשף המסכות? בעקבות בג"ץ 794/17 זיאדה נ' מפקד כוחות צה"ל בגדה המערבית" </w:t>
      </w:r>
      <w:r w:rsidRPr="00643EF4">
        <w:rPr>
          <w:rFonts w:ascii="Century" w:hAnsi="Century" w:cs="Miriam" w:hint="cs"/>
          <w:b/>
          <w:spacing w:val="0"/>
          <w:sz w:val="22"/>
          <w:szCs w:val="24"/>
          <w:rtl/>
        </w:rPr>
        <w:t xml:space="preserve">מבזקי הארות פסיקה </w:t>
      </w:r>
      <w:r w:rsidRPr="00643EF4">
        <w:rPr>
          <w:rFonts w:ascii="Century" w:hAnsi="Century" w:hint="cs"/>
          <w:sz w:val="22"/>
          <w:rtl/>
        </w:rPr>
        <w:t>73 5,</w:t>
      </w:r>
      <w:r w:rsidRPr="00643EF4">
        <w:rPr>
          <w:rFonts w:ascii="Century" w:hAnsi="Century" w:cs="Miriam" w:hint="cs"/>
          <w:b/>
          <w:spacing w:val="0"/>
          <w:sz w:val="22"/>
          <w:szCs w:val="24"/>
          <w:rtl/>
        </w:rPr>
        <w:t xml:space="preserve"> </w:t>
      </w:r>
      <w:r w:rsidRPr="00643EF4">
        <w:rPr>
          <w:rFonts w:hint="cs"/>
          <w:rtl/>
        </w:rPr>
        <w:t xml:space="preserve">9-8 (2018); רונית לוין-שנור "עמונה, ממונא ואיסורא: בג"ץ 794/17 זיאדה נ' מפקד כוחות צה"ל בגדה המערבית" </w:t>
      </w:r>
      <w:r w:rsidRPr="00643EF4">
        <w:rPr>
          <w:rFonts w:ascii="Century" w:hAnsi="Century" w:cs="Miriam" w:hint="cs"/>
          <w:b/>
          <w:spacing w:val="0"/>
          <w:sz w:val="22"/>
          <w:szCs w:val="24"/>
          <w:rtl/>
        </w:rPr>
        <w:t>מבזקי הארות פסיקה</w:t>
      </w:r>
      <w:r w:rsidRPr="00643EF4">
        <w:rPr>
          <w:rFonts w:ascii="Century" w:hAnsi="Century" w:hint="cs"/>
          <w:sz w:val="22"/>
          <w:rtl/>
        </w:rPr>
        <w:t xml:space="preserve"> 73 30, </w:t>
      </w:r>
      <w:r w:rsidRPr="00643EF4">
        <w:rPr>
          <w:rFonts w:hint="cs"/>
          <w:rtl/>
        </w:rPr>
        <w:t>40-39 (2018)).</w:t>
      </w:r>
    </w:p>
    <w:p w14:paraId="79741A19" w14:textId="77777777" w:rsidR="000E5D20" w:rsidRPr="00643EF4" w:rsidRDefault="000E5D20" w:rsidP="000E5D20">
      <w:pPr>
        <w:pStyle w:val="Ruller4"/>
        <w:numPr>
          <w:ilvl w:val="0"/>
          <w:numId w:val="0"/>
        </w:numPr>
      </w:pPr>
    </w:p>
    <w:p w14:paraId="761A1C4D" w14:textId="77777777" w:rsidR="000E5D20" w:rsidRPr="00643EF4" w:rsidRDefault="000E5D20" w:rsidP="000E5D20">
      <w:pPr>
        <w:pStyle w:val="Ruller4"/>
        <w:tabs>
          <w:tab w:val="num" w:pos="10307"/>
        </w:tabs>
      </w:pPr>
      <w:r w:rsidRPr="00643EF4">
        <w:rPr>
          <w:rFonts w:ascii="Century" w:hAnsi="Century" w:hint="cs"/>
          <w:sz w:val="22"/>
          <w:rtl/>
        </w:rPr>
        <w:t xml:space="preserve">בהחלטת ממשלה מס' 145 מיום 11.11.1979 הוחלט להרחיב את ההתיישבות ביהודה, שומרון, בקעת הירדן חבל עזה ורמת הגולן, על ידי תוספת אוכלוסין לישובים הקיימים והקמת יישובים חדשים. </w:t>
      </w:r>
      <w:r w:rsidRPr="00643EF4">
        <w:rPr>
          <w:rFonts w:hint="cs"/>
          <w:rtl/>
        </w:rPr>
        <w:t>באותה החלטה נקבע כי התיישבות ישראלית חדשה תוקם על קרקעות ב"בעלות המדינה", אך לא נקבע בה מהי "קרקע שבבעלות המדינה". הצו בדבר רכוש ממשלתי, שתוקן מספר פעמים לאורך השנים קבע כי "</w:t>
      </w:r>
      <w:r w:rsidRPr="00643EF4">
        <w:rPr>
          <w:rFonts w:ascii="Century" w:hAnsi="Century" w:cs="Miriam" w:hint="cs"/>
          <w:b/>
          <w:spacing w:val="0"/>
          <w:sz w:val="22"/>
          <w:szCs w:val="24"/>
          <w:rtl/>
        </w:rPr>
        <w:t>רכוש ממשלתי</w:t>
      </w:r>
      <w:r w:rsidRPr="00643EF4">
        <w:rPr>
          <w:rFonts w:hint="cs"/>
          <w:rtl/>
        </w:rPr>
        <w:t xml:space="preserve">" הוא, בין היתר, רכוש אשר ביום הקובע (7.6.1967) או לאחריו, שייך, רשום על שם או מוקנה למדינת אויב, או לתאגיד אשר למדינת אויב יש בו זכות כלשהי </w:t>
      </w:r>
      <w:r w:rsidRPr="00643EF4">
        <w:rPr>
          <w:rStyle w:val="default"/>
          <w:rFonts w:ascii="Century" w:hAnsi="Century" w:hint="cs"/>
          <w:sz w:val="22"/>
          <w:rtl/>
        </w:rPr>
        <w:t>או רכוש שאחד מהם היה שותף בו</w:t>
      </w:r>
      <w:r w:rsidRPr="00643EF4">
        <w:rPr>
          <w:rFonts w:ascii="Century" w:hAnsi="Century" w:hint="cs"/>
          <w:sz w:val="22"/>
          <w:rtl/>
        </w:rPr>
        <w:t>.</w:t>
      </w:r>
      <w:r w:rsidRPr="00643EF4">
        <w:rPr>
          <w:rFonts w:hint="cs"/>
          <w:rtl/>
        </w:rPr>
        <w:t xml:space="preserve"> ממלכת ירדן ההאשמית על רשויותיה הוגדרה לעניין זה כ"מדינת אויב" (ראו עוד בעניין הגדרת "רכוש ממשלתי" אצל </w:t>
      </w:r>
      <w:r w:rsidRPr="00643EF4">
        <w:rPr>
          <w:rFonts w:ascii="Century" w:hAnsi="Century" w:cs="Miriam" w:hint="cs"/>
          <w:b/>
          <w:spacing w:val="0"/>
          <w:sz w:val="22"/>
          <w:szCs w:val="24"/>
          <w:rtl/>
        </w:rPr>
        <w:t>איל זמיר</w:t>
      </w:r>
      <w:r w:rsidRPr="00643EF4">
        <w:rPr>
          <w:rFonts w:ascii="Century" w:hAnsi="Century" w:hint="cs"/>
          <w:sz w:val="22"/>
          <w:rtl/>
        </w:rPr>
        <w:t>, בעמ' 29-28)</w:t>
      </w:r>
      <w:r w:rsidRPr="00643EF4">
        <w:rPr>
          <w:rFonts w:hint="cs"/>
          <w:rtl/>
        </w:rPr>
        <w:t xml:space="preserve">. השאלה מהן הקרקעות שהיו שייכות לירדן במועד הקובע לצורך הגדרתן כ"רכוש ממשלתי", כמובנו בצו בדבר רכוש ממשלתי, היא שאלה מורכבת. במישור המהותי התשובה לכך נגזרת מדיני המקרקעין העות'מאניים החלים באזור, המבחינים בין סוגים שונים של מקרקעין (להרחבה באשר לסוגי המקרקעין לפי הדין העות'מאני ראו משה דוכן </w:t>
      </w:r>
      <w:r w:rsidRPr="00643EF4">
        <w:rPr>
          <w:rFonts w:ascii="Century" w:hAnsi="Century" w:cs="Miriam" w:hint="cs"/>
          <w:b/>
          <w:spacing w:val="0"/>
          <w:sz w:val="22"/>
          <w:szCs w:val="24"/>
          <w:rtl/>
        </w:rPr>
        <w:t xml:space="preserve">דיני קרקעות במדינת ישראל </w:t>
      </w:r>
      <w:r w:rsidRPr="00643EF4">
        <w:rPr>
          <w:rFonts w:ascii="Century" w:hAnsi="Century" w:hint="cs"/>
          <w:sz w:val="22"/>
          <w:rtl/>
        </w:rPr>
        <w:t>77-39 (1952)</w:t>
      </w:r>
      <w:r w:rsidRPr="00643EF4">
        <w:rPr>
          <w:rFonts w:hint="cs"/>
          <w:rtl/>
        </w:rPr>
        <w:t xml:space="preserve"> (להלן: </w:t>
      </w:r>
      <w:r w:rsidRPr="00643EF4">
        <w:rPr>
          <w:rFonts w:ascii="Century" w:hAnsi="Century" w:cs="Miriam" w:hint="cs"/>
          <w:b/>
          <w:spacing w:val="0"/>
          <w:sz w:val="22"/>
          <w:szCs w:val="24"/>
          <w:rtl/>
        </w:rPr>
        <w:t>דוכן</w:t>
      </w:r>
      <w:r w:rsidRPr="00643EF4">
        <w:rPr>
          <w:rFonts w:ascii="Century" w:hAnsi="Century" w:hint="cs"/>
          <w:sz w:val="22"/>
          <w:rtl/>
        </w:rPr>
        <w:t>)</w:t>
      </w:r>
      <w:r w:rsidRPr="00643EF4">
        <w:rPr>
          <w:rFonts w:hint="cs"/>
          <w:rtl/>
        </w:rPr>
        <w:t xml:space="preserve">). ואולם, בניגוד למצב בישראל, </w:t>
      </w:r>
      <w:r w:rsidRPr="00643EF4">
        <w:rPr>
          <w:rFonts w:ascii="Century" w:hAnsi="Century" w:cs="Miriam" w:hint="cs"/>
          <w:b/>
          <w:spacing w:val="0"/>
          <w:sz w:val="22"/>
          <w:szCs w:val="24"/>
          <w:rtl/>
        </w:rPr>
        <w:t>באזור אין מרשם מקרקעין מלא, מקיף ומהימן</w:t>
      </w:r>
      <w:r w:rsidRPr="00643EF4">
        <w:rPr>
          <w:rFonts w:hint="cs"/>
          <w:rtl/>
        </w:rPr>
        <w:t xml:space="preserve"> אשר ממנו ניתן ללמוד על מעמדם הקנייני של רוב המקרקעין, ומסיבות שונות הרישום לגבי קרקעות של פלסטינים רבים אבד ברבות השנים (להרחבה בסוגיית רישום המקרקעין באזור ראו סנדי קדר "זמן של רוב, זמן של מיעוט: קרקע, לאום ודיני ההתיישנות הרוכשת בישראל" </w:t>
      </w:r>
      <w:r w:rsidRPr="00643EF4">
        <w:rPr>
          <w:rFonts w:ascii="Century" w:hAnsi="Century" w:cs="Miriam" w:hint="cs"/>
          <w:b/>
          <w:spacing w:val="0"/>
          <w:sz w:val="22"/>
          <w:szCs w:val="24"/>
          <w:rtl/>
        </w:rPr>
        <w:t xml:space="preserve">עיוני משפט </w:t>
      </w:r>
      <w:r w:rsidRPr="00643EF4">
        <w:rPr>
          <w:rFonts w:ascii="Century" w:hAnsi="Century" w:hint="cs"/>
          <w:sz w:val="22"/>
          <w:rtl/>
        </w:rPr>
        <w:t>כא(3) 665, 669-668, 674-671 (1998)</w:t>
      </w:r>
      <w:r w:rsidRPr="00643EF4">
        <w:rPr>
          <w:rFonts w:hint="cs"/>
          <w:rtl/>
        </w:rPr>
        <w:t xml:space="preserve"> (להלן: </w:t>
      </w:r>
      <w:r w:rsidRPr="00643EF4">
        <w:rPr>
          <w:rFonts w:ascii="Century" w:hAnsi="Century" w:cs="Miriam" w:hint="cs"/>
          <w:b/>
          <w:spacing w:val="0"/>
          <w:sz w:val="22"/>
          <w:szCs w:val="24"/>
          <w:rtl/>
        </w:rPr>
        <w:t>קדר</w:t>
      </w:r>
      <w:r w:rsidRPr="00643EF4">
        <w:rPr>
          <w:rFonts w:ascii="Century" w:hAnsi="Century" w:hint="cs"/>
          <w:sz w:val="22"/>
          <w:rtl/>
        </w:rPr>
        <w:t xml:space="preserve">); </w:t>
      </w:r>
      <w:r w:rsidRPr="00643EF4">
        <w:rPr>
          <w:rFonts w:ascii="Century" w:hAnsi="Century" w:cs="Miriam" w:hint="cs"/>
          <w:b/>
          <w:spacing w:val="0"/>
          <w:sz w:val="22"/>
          <w:szCs w:val="24"/>
          <w:rtl/>
        </w:rPr>
        <w:t>איל זמיר</w:t>
      </w:r>
      <w:r w:rsidRPr="00643EF4">
        <w:rPr>
          <w:rFonts w:ascii="Century" w:hAnsi="Century" w:hint="cs"/>
          <w:sz w:val="22"/>
          <w:rtl/>
        </w:rPr>
        <w:t xml:space="preserve">, בעמ' 27-25; ראו עוד חגי וינצקי </w:t>
      </w:r>
      <w:r w:rsidRPr="00643EF4">
        <w:rPr>
          <w:rFonts w:ascii="Century" w:hAnsi="Century" w:hint="cs"/>
          <w:sz w:val="22"/>
          <w:rtl/>
        </w:rPr>
        <w:lastRenderedPageBreak/>
        <w:t xml:space="preserve">ודניאל קרמר "מרשמי המקרקעין ביהודה ושומרון" </w:t>
      </w:r>
      <w:r w:rsidRPr="00643EF4">
        <w:rPr>
          <w:rFonts w:ascii="Century" w:hAnsi="Century" w:cs="Miriam" w:hint="cs"/>
          <w:b/>
          <w:spacing w:val="0"/>
          <w:sz w:val="22"/>
          <w:szCs w:val="24"/>
          <w:rtl/>
        </w:rPr>
        <w:t>דיני מקרקרקעין והמשפט הבינלאומי ביהודה ושומרון</w:t>
      </w:r>
      <w:r w:rsidRPr="00643EF4">
        <w:rPr>
          <w:rFonts w:ascii="Century" w:hAnsi="Century" w:hint="cs"/>
          <w:sz w:val="22"/>
          <w:rtl/>
        </w:rPr>
        <w:t xml:space="preserve"> 113, 118-117 (2013)</w:t>
      </w:r>
      <w:r w:rsidRPr="00643EF4">
        <w:rPr>
          <w:rFonts w:hint="cs"/>
          <w:rtl/>
        </w:rPr>
        <w:t xml:space="preserve"> (להלן: </w:t>
      </w:r>
      <w:r w:rsidRPr="00643EF4">
        <w:rPr>
          <w:rFonts w:ascii="Century" w:hAnsi="Century" w:cs="Miriam" w:hint="cs"/>
          <w:b/>
          <w:spacing w:val="0"/>
          <w:sz w:val="22"/>
          <w:szCs w:val="24"/>
          <w:rtl/>
        </w:rPr>
        <w:t>וינצקי וקרמר</w:t>
      </w:r>
      <w:r w:rsidRPr="00643EF4">
        <w:rPr>
          <w:rFonts w:ascii="Century" w:hAnsi="Century" w:hint="cs"/>
          <w:sz w:val="22"/>
          <w:rtl/>
        </w:rPr>
        <w:t>)</w:t>
      </w:r>
      <w:r w:rsidRPr="00643EF4">
        <w:rPr>
          <w:rFonts w:hint="cs"/>
          <w:rtl/>
        </w:rPr>
        <w:t xml:space="preserve">; </w:t>
      </w:r>
      <w:r w:rsidRPr="00643EF4">
        <w:rPr>
          <w:rFonts w:ascii="Century" w:hAnsi="Century" w:hint="cs"/>
          <w:sz w:val="22"/>
          <w:rtl/>
        </w:rPr>
        <w:t xml:space="preserve">חיים זנדברג "ההצדקות למוסד ההתיישנות </w:t>
      </w:r>
      <w:r w:rsidRPr="00643EF4">
        <w:rPr>
          <w:rFonts w:ascii="Century" w:hAnsi="Century"/>
          <w:sz w:val="22"/>
          <w:rtl/>
        </w:rPr>
        <w:t>–</w:t>
      </w:r>
      <w:r w:rsidRPr="00643EF4">
        <w:rPr>
          <w:rFonts w:ascii="Century" w:hAnsi="Century" w:hint="cs"/>
          <w:sz w:val="22"/>
          <w:rtl/>
        </w:rPr>
        <w:t xml:space="preserve"> ביהודה ושומרון" </w:t>
      </w:r>
      <w:r w:rsidRPr="00643EF4">
        <w:rPr>
          <w:rFonts w:ascii="Century" w:hAnsi="Century" w:cs="Miriam" w:hint="cs"/>
          <w:b/>
          <w:spacing w:val="0"/>
          <w:sz w:val="22"/>
          <w:szCs w:val="24"/>
          <w:rtl/>
        </w:rPr>
        <w:t>דיני מקרקעין והמשפט הבינלאומי ביהודה ושומרון</w:t>
      </w:r>
      <w:r w:rsidRPr="00643EF4">
        <w:rPr>
          <w:rFonts w:ascii="Century" w:hAnsi="Century" w:hint="cs"/>
          <w:sz w:val="22"/>
          <w:rtl/>
        </w:rPr>
        <w:t xml:space="preserve"> 211, 244-242 (2013)</w:t>
      </w:r>
      <w:r w:rsidRPr="00643EF4">
        <w:rPr>
          <w:rFonts w:hint="cs"/>
          <w:rtl/>
        </w:rPr>
        <w:t xml:space="preserve"> </w:t>
      </w:r>
      <w:r w:rsidRPr="00643EF4">
        <w:rPr>
          <w:rtl/>
        </w:rPr>
        <w:t>(</w:t>
      </w:r>
      <w:r w:rsidRPr="00643EF4">
        <w:rPr>
          <w:rFonts w:hint="eastAsia"/>
          <w:rtl/>
        </w:rPr>
        <w:t>להלן</w:t>
      </w:r>
      <w:r w:rsidRPr="00643EF4">
        <w:rPr>
          <w:rtl/>
        </w:rPr>
        <w:t>:</w:t>
      </w:r>
      <w:r w:rsidRPr="00643EF4">
        <w:rPr>
          <w:rFonts w:ascii="Century" w:hAnsi="Century"/>
          <w:sz w:val="22"/>
          <w:rtl/>
        </w:rPr>
        <w:t xml:space="preserve"> </w:t>
      </w:r>
      <w:r w:rsidRPr="00643EF4">
        <w:rPr>
          <w:rFonts w:ascii="Century" w:hAnsi="Century" w:cs="Miriam" w:hint="eastAsia"/>
          <w:b/>
          <w:spacing w:val="0"/>
          <w:sz w:val="22"/>
          <w:szCs w:val="24"/>
          <w:rtl/>
        </w:rPr>
        <w:t>ההצדקות</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למוסד</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ההתיישנות</w:t>
      </w:r>
      <w:r w:rsidRPr="00643EF4">
        <w:rPr>
          <w:rFonts w:ascii="Century" w:hAnsi="Century" w:cs="Miriam"/>
          <w:b/>
          <w:spacing w:val="0"/>
          <w:sz w:val="22"/>
          <w:szCs w:val="24"/>
          <w:rtl/>
        </w:rPr>
        <w:t xml:space="preserve"> – </w:t>
      </w:r>
      <w:r w:rsidRPr="00643EF4">
        <w:rPr>
          <w:rFonts w:ascii="Century" w:hAnsi="Century" w:cs="Miriam" w:hint="eastAsia"/>
          <w:b/>
          <w:spacing w:val="0"/>
          <w:sz w:val="22"/>
          <w:szCs w:val="24"/>
          <w:rtl/>
        </w:rPr>
        <w:t>ביהודה</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ושומרון</w:t>
      </w:r>
      <w:r w:rsidRPr="00643EF4">
        <w:rPr>
          <w:rFonts w:ascii="Century" w:hAnsi="Century"/>
          <w:sz w:val="22"/>
          <w:rtl/>
        </w:rPr>
        <w:t>)</w:t>
      </w:r>
      <w:r w:rsidRPr="00643EF4">
        <w:rPr>
          <w:rFonts w:ascii="Century" w:hAnsi="Century" w:hint="cs"/>
          <w:sz w:val="22"/>
          <w:rtl/>
        </w:rPr>
        <w:t>;</w:t>
      </w:r>
      <w:r w:rsidRPr="00643EF4">
        <w:rPr>
          <w:rFonts w:hint="cs"/>
          <w:rtl/>
        </w:rPr>
        <w:t xml:space="preserve"> על פנקסי הרישום בתקופה התורכית והבריטית ראו אריה אייזנשטיין </w:t>
      </w:r>
      <w:r w:rsidRPr="00643EF4">
        <w:rPr>
          <w:rFonts w:ascii="Century" w:hAnsi="Century" w:cs="Miriam" w:hint="cs"/>
          <w:b/>
          <w:spacing w:val="0"/>
          <w:sz w:val="22"/>
          <w:szCs w:val="24"/>
          <w:rtl/>
        </w:rPr>
        <w:t xml:space="preserve">יסודות והלכות בדיני מקרקעין </w:t>
      </w:r>
      <w:r w:rsidRPr="00643EF4">
        <w:rPr>
          <w:rFonts w:ascii="Century" w:hAnsi="Century" w:cs="Miriam"/>
          <w:b/>
          <w:spacing w:val="0"/>
          <w:sz w:val="22"/>
          <w:szCs w:val="24"/>
          <w:rtl/>
        </w:rPr>
        <w:t>–</w:t>
      </w:r>
      <w:r w:rsidRPr="00643EF4">
        <w:rPr>
          <w:rFonts w:ascii="Century" w:hAnsi="Century" w:cs="Miriam" w:hint="cs"/>
          <w:b/>
          <w:spacing w:val="0"/>
          <w:sz w:val="22"/>
          <w:szCs w:val="24"/>
          <w:rtl/>
        </w:rPr>
        <w:t xml:space="preserve"> חלק ראשון המירשם ופעולות במקרקעין</w:t>
      </w:r>
      <w:r w:rsidRPr="00643EF4">
        <w:rPr>
          <w:rFonts w:ascii="Century" w:hAnsi="Century" w:hint="cs"/>
          <w:sz w:val="22"/>
          <w:rtl/>
        </w:rPr>
        <w:t xml:space="preserve"> 219-198 (1995)</w:t>
      </w:r>
      <w:r w:rsidRPr="00643EF4">
        <w:rPr>
          <w:rFonts w:hint="cs"/>
          <w:rtl/>
        </w:rPr>
        <w:t xml:space="preserve">). </w:t>
      </w:r>
    </w:p>
    <w:p w14:paraId="62BCB37A" w14:textId="77777777" w:rsidR="000E5D20" w:rsidRPr="00643EF4" w:rsidRDefault="000E5D20" w:rsidP="000E5D20">
      <w:pPr>
        <w:pStyle w:val="Ruller4"/>
        <w:numPr>
          <w:ilvl w:val="0"/>
          <w:numId w:val="0"/>
        </w:numPr>
      </w:pPr>
    </w:p>
    <w:p w14:paraId="7C3E32BF" w14:textId="77777777" w:rsidR="000E5D20" w:rsidRPr="00643EF4" w:rsidRDefault="000E5D20" w:rsidP="000E5D20">
      <w:pPr>
        <w:pStyle w:val="Ruller4"/>
        <w:tabs>
          <w:tab w:val="num" w:pos="10307"/>
        </w:tabs>
        <w:rPr>
          <w:rtl/>
        </w:rPr>
      </w:pPr>
      <w:r w:rsidRPr="00643EF4">
        <w:rPr>
          <w:rFonts w:hint="cs"/>
          <w:rtl/>
        </w:rPr>
        <w:t xml:space="preserve">בשל האופי הבעייתי של שיטות רישום המקרקעין שהיו נהוגות בתקופה העות'מאנית יזמו השלטונות הקודמים באזור </w:t>
      </w:r>
      <w:r w:rsidRPr="00643EF4">
        <w:rPr>
          <w:rtl/>
        </w:rPr>
        <w:t>–</w:t>
      </w:r>
      <w:r w:rsidRPr="00643EF4">
        <w:rPr>
          <w:rFonts w:hint="cs"/>
          <w:rtl/>
        </w:rPr>
        <w:t xml:space="preserve"> ממשלת המנדט הבריטי ולאחריה השלטון הירדני </w:t>
      </w:r>
      <w:r w:rsidRPr="00643EF4">
        <w:rPr>
          <w:rtl/>
        </w:rPr>
        <w:t>–</w:t>
      </w:r>
      <w:r w:rsidRPr="00643EF4">
        <w:rPr>
          <w:rFonts w:hint="cs"/>
          <w:rtl/>
        </w:rPr>
        <w:t xml:space="preserve"> הליכים להסדרת המקרקעין אשר במסגרתם התבצע רישום שיטתי של מקרקעין באזור, לרוב של אדמות כפר שלם או גוש בודד, לאחר עריכת בירור מקיף של הזכויות במקרקעין לפי הדין התקף (רונית לוין-שנור </w:t>
      </w:r>
      <w:r w:rsidRPr="00643EF4">
        <w:rPr>
          <w:rFonts w:ascii="Century" w:hAnsi="Century" w:cs="Miriam" w:hint="cs"/>
          <w:b/>
          <w:spacing w:val="0"/>
          <w:sz w:val="22"/>
          <w:szCs w:val="24"/>
          <w:rtl/>
        </w:rPr>
        <w:t xml:space="preserve">דיני רישום מקרקעין </w:t>
      </w:r>
      <w:r w:rsidRPr="00643EF4">
        <w:rPr>
          <w:rFonts w:ascii="Century" w:hAnsi="Century" w:hint="cs"/>
          <w:sz w:val="22"/>
          <w:rtl/>
        </w:rPr>
        <w:t xml:space="preserve">264-263 (2012) (להלן: </w:t>
      </w:r>
      <w:r w:rsidRPr="00643EF4">
        <w:rPr>
          <w:rFonts w:ascii="Century" w:hAnsi="Century" w:cs="Miriam" w:hint="cs"/>
          <w:b/>
          <w:spacing w:val="0"/>
          <w:sz w:val="22"/>
          <w:szCs w:val="24"/>
          <w:rtl/>
        </w:rPr>
        <w:t>דיני רישום מקרקעין</w:t>
      </w:r>
      <w:r w:rsidRPr="00643EF4">
        <w:rPr>
          <w:rFonts w:ascii="Century" w:hAnsi="Century" w:hint="cs"/>
          <w:sz w:val="22"/>
          <w:rtl/>
        </w:rPr>
        <w:t xml:space="preserve">); </w:t>
      </w:r>
      <w:r w:rsidRPr="00643EF4">
        <w:rPr>
          <w:rFonts w:ascii="Century" w:hAnsi="Century"/>
          <w:smallCaps/>
          <w:sz w:val="22"/>
        </w:rPr>
        <w:t>Anthony</w:t>
      </w:r>
      <w:r w:rsidRPr="00643EF4">
        <w:rPr>
          <w:rFonts w:ascii="Century" w:hAnsi="Century"/>
          <w:smallCaps/>
          <w:sz w:val="22"/>
          <w:szCs w:val="22"/>
        </w:rPr>
        <w:t xml:space="preserve"> Coon, </w:t>
      </w:r>
      <w:r w:rsidRPr="00643EF4">
        <w:rPr>
          <w:rFonts w:ascii="Century" w:hAnsi="Century"/>
          <w:smallCaps/>
          <w:sz w:val="22"/>
        </w:rPr>
        <w:t>Town Planning Under Military Occupation</w:t>
      </w:r>
      <w:r w:rsidRPr="00643EF4">
        <w:rPr>
          <w:rFonts w:ascii="Century" w:hAnsi="Century"/>
          <w:sz w:val="22"/>
          <w:szCs w:val="22"/>
        </w:rPr>
        <w:t xml:space="preserve"> 114-115 (1992)</w:t>
      </w:r>
      <w:r w:rsidRPr="00643EF4">
        <w:rPr>
          <w:rFonts w:ascii="Century" w:hAnsi="Century" w:hint="cs"/>
          <w:sz w:val="22"/>
          <w:rtl/>
        </w:rPr>
        <w:t xml:space="preserve">). </w:t>
      </w:r>
      <w:r w:rsidRPr="00643EF4">
        <w:rPr>
          <w:rFonts w:hint="cs"/>
          <w:rtl/>
        </w:rPr>
        <w:t>הליכים אלה הותלו עם כניסת כוחות צה"ל לאזור בשנת 1967 וכפועל היוצא מכך, רק כשליש עד 40% מן האדמות באזור עברו הליך של הסדר עד לאותו המועד (</w:t>
      </w:r>
      <w:r w:rsidRPr="00643EF4">
        <w:rPr>
          <w:rFonts w:ascii="Century" w:hAnsi="Century" w:cs="Miriam" w:hint="cs"/>
          <w:b/>
          <w:spacing w:val="0"/>
          <w:sz w:val="22"/>
          <w:szCs w:val="24"/>
          <w:rtl/>
        </w:rPr>
        <w:t>דיני רישום מקרקעין</w:t>
      </w:r>
      <w:r w:rsidRPr="00643EF4">
        <w:rPr>
          <w:rFonts w:ascii="Century" w:hAnsi="Century" w:hint="cs"/>
          <w:sz w:val="22"/>
          <w:rtl/>
        </w:rPr>
        <w:t xml:space="preserve">, בעמ' 264 ובעמ' 279. לסיבות להתליית ההליכים ראו </w:t>
      </w:r>
      <w:r w:rsidRPr="00643EF4">
        <w:rPr>
          <w:rFonts w:ascii="Century" w:hAnsi="Century" w:cs="Miriam" w:hint="cs"/>
          <w:b/>
          <w:spacing w:val="0"/>
          <w:sz w:val="22"/>
          <w:szCs w:val="24"/>
          <w:rtl/>
        </w:rPr>
        <w:t>שם</w:t>
      </w:r>
      <w:r w:rsidRPr="00643EF4">
        <w:rPr>
          <w:rFonts w:ascii="Century" w:hAnsi="Century" w:hint="cs"/>
          <w:sz w:val="22"/>
          <w:rtl/>
        </w:rPr>
        <w:t xml:space="preserve">, בעמ' 265-264; </w:t>
      </w:r>
      <w:r w:rsidRPr="00643EF4">
        <w:rPr>
          <w:rFonts w:ascii="Century" w:hAnsi="Century" w:cs="Miriam" w:hint="cs"/>
          <w:b/>
          <w:spacing w:val="0"/>
          <w:sz w:val="22"/>
          <w:szCs w:val="24"/>
          <w:rtl/>
        </w:rPr>
        <w:t>וינצקי וקרמר</w:t>
      </w:r>
      <w:r w:rsidRPr="00643EF4">
        <w:rPr>
          <w:rFonts w:ascii="Century" w:hAnsi="Century" w:hint="cs"/>
          <w:sz w:val="22"/>
          <w:rtl/>
        </w:rPr>
        <w:t>, בעמ' 168)</w:t>
      </w:r>
      <w:r w:rsidRPr="00643EF4">
        <w:rPr>
          <w:rFonts w:hint="cs"/>
          <w:rtl/>
        </w:rPr>
        <w:t xml:space="preserve">. ויודגש </w:t>
      </w:r>
      <w:r w:rsidRPr="00643EF4">
        <w:rPr>
          <w:rtl/>
        </w:rPr>
        <w:t>–</w:t>
      </w:r>
      <w:r w:rsidRPr="00643EF4">
        <w:rPr>
          <w:rFonts w:hint="cs"/>
          <w:rtl/>
        </w:rPr>
        <w:t xml:space="preserve"> בהיעדר חובת רישום של מקרקעין באזור, שיטת הרישום בו היא של "רישום ספורדי-וולונטרי, ולאור התליית הליכי ההסדר </w:t>
      </w:r>
      <w:r w:rsidRPr="00643EF4">
        <w:rPr>
          <w:rtl/>
        </w:rPr>
        <w:t>–</w:t>
      </w:r>
      <w:r w:rsidRPr="00643EF4">
        <w:rPr>
          <w:rFonts w:hint="cs"/>
          <w:rtl/>
        </w:rPr>
        <w:t xml:space="preserve"> זוהי השיטה היחידה לרישום" (</w:t>
      </w:r>
      <w:r w:rsidRPr="00643EF4">
        <w:rPr>
          <w:rFonts w:ascii="Century" w:hAnsi="Century" w:cs="Miriam" w:hint="cs"/>
          <w:b/>
          <w:spacing w:val="0"/>
          <w:sz w:val="22"/>
          <w:szCs w:val="24"/>
          <w:rtl/>
        </w:rPr>
        <w:t>דיני רישום מקרקעין</w:t>
      </w:r>
      <w:r w:rsidRPr="00643EF4">
        <w:rPr>
          <w:rFonts w:ascii="Century" w:hAnsi="Century" w:hint="cs"/>
          <w:sz w:val="22"/>
          <w:rtl/>
        </w:rPr>
        <w:t xml:space="preserve">, בעמ' 267-266; </w:t>
      </w:r>
      <w:r w:rsidRPr="00643EF4">
        <w:rPr>
          <w:rFonts w:ascii="Century" w:hAnsi="Century" w:cs="Miriam" w:hint="eastAsia"/>
          <w:b/>
          <w:spacing w:val="0"/>
          <w:sz w:val="22"/>
          <w:szCs w:val="24"/>
          <w:rtl/>
        </w:rPr>
        <w:t>איל</w:t>
      </w:r>
      <w:r w:rsidRPr="00643EF4">
        <w:rPr>
          <w:rFonts w:ascii="Century" w:hAnsi="Century" w:cs="Miriam"/>
          <w:b/>
          <w:spacing w:val="0"/>
          <w:sz w:val="22"/>
          <w:szCs w:val="24"/>
          <w:rtl/>
        </w:rPr>
        <w:t xml:space="preserve"> </w:t>
      </w:r>
      <w:r w:rsidRPr="00643EF4">
        <w:rPr>
          <w:rFonts w:ascii="Century" w:hAnsi="Century" w:cs="Miriam" w:hint="cs"/>
          <w:b/>
          <w:spacing w:val="0"/>
          <w:sz w:val="22"/>
          <w:szCs w:val="24"/>
          <w:rtl/>
        </w:rPr>
        <w:t>זמיר</w:t>
      </w:r>
      <w:r w:rsidRPr="00643EF4">
        <w:rPr>
          <w:rFonts w:ascii="Century" w:hAnsi="Century" w:hint="cs"/>
          <w:sz w:val="22"/>
          <w:rtl/>
        </w:rPr>
        <w:t>, בעמ' 27). כיום</w:t>
      </w:r>
      <w:r w:rsidRPr="00643EF4">
        <w:rPr>
          <w:rFonts w:hint="cs"/>
          <w:rtl/>
        </w:rPr>
        <w:t xml:space="preserve"> קיימת אפשרות לנקוט הליך פרטני של "רישום ראשון" להסדרת מקרקעין מסוימים ביוזמת הטוען לזכות (ולא כחלק מהסדר כולל) וזאת בהתאם לחוק הירדני "בדבר רישום נכסי דלא ניידי שלא נרשמו קודם, לשנת 1964" ותחיקת הביטחון שתיקנה אותו. תכליתו של הליך זה היא לאפשר לבעלי זכויות חזקה במקרקעין מסוימים לעגן את זכויותיהם ברישום, תוך בירור של גבולות חלקתם, מבלי להיזקק לביצוע הליך כולל של הסדר קרקעות (להרחבה ראו </w:t>
      </w:r>
      <w:r w:rsidRPr="00643EF4">
        <w:rPr>
          <w:rFonts w:ascii="Century" w:hAnsi="Century" w:cs="Miriam" w:hint="cs"/>
          <w:b/>
          <w:spacing w:val="0"/>
          <w:sz w:val="22"/>
          <w:szCs w:val="24"/>
          <w:rtl/>
        </w:rPr>
        <w:t>דיני רישום מקרקעין</w:t>
      </w:r>
      <w:r w:rsidRPr="00643EF4">
        <w:rPr>
          <w:rFonts w:ascii="Century" w:hAnsi="Century" w:hint="cs"/>
          <w:sz w:val="22"/>
          <w:rtl/>
        </w:rPr>
        <w:t xml:space="preserve">, בעמ' 277-269. וראו את הנתונים בעמ' 287-280 לפיהם עד לחודש יולי 2011 הוגשו לרשויות הישראליות בסך הכל 652 בקשות לרישום ראשון, מהן 244 בידי ישראלים ו-408 בידי פלסטינים; ראו עוד </w:t>
      </w:r>
      <w:r w:rsidRPr="00643EF4">
        <w:rPr>
          <w:rFonts w:ascii="Century" w:hAnsi="Century" w:hint="cs"/>
          <w:rtl/>
        </w:rPr>
        <w:t xml:space="preserve">אברהם סוכובולסקי, אליהו כהן ואבי ארליך </w:t>
      </w:r>
      <w:r w:rsidRPr="00643EF4">
        <w:rPr>
          <w:rFonts w:ascii="Century" w:hAnsi="Century" w:cs="Miriam" w:hint="cs"/>
          <w:b/>
          <w:spacing w:val="0"/>
          <w:sz w:val="22"/>
          <w:szCs w:val="24"/>
          <w:rtl/>
        </w:rPr>
        <w:t xml:space="preserve">יהודה ושומרון </w:t>
      </w:r>
      <w:r w:rsidRPr="00643EF4">
        <w:rPr>
          <w:rFonts w:ascii="Century" w:hAnsi="Century" w:cs="Miriam"/>
          <w:b/>
          <w:spacing w:val="0"/>
          <w:sz w:val="22"/>
          <w:szCs w:val="24"/>
          <w:rtl/>
        </w:rPr>
        <w:t>–</w:t>
      </w:r>
      <w:r w:rsidRPr="00643EF4">
        <w:rPr>
          <w:rFonts w:ascii="Century" w:hAnsi="Century" w:cs="Miriam" w:hint="cs"/>
          <w:b/>
          <w:spacing w:val="0"/>
          <w:sz w:val="22"/>
          <w:szCs w:val="24"/>
          <w:rtl/>
        </w:rPr>
        <w:t xml:space="preserve"> זכויות במקרקעין והדין בישראל</w:t>
      </w:r>
      <w:r w:rsidRPr="00643EF4">
        <w:rPr>
          <w:rFonts w:ascii="Century" w:hAnsi="Century" w:hint="cs"/>
          <w:sz w:val="22"/>
          <w:rtl/>
        </w:rPr>
        <w:t xml:space="preserve"> 48-47 (1986) (להלן: </w:t>
      </w:r>
      <w:r w:rsidRPr="00643EF4">
        <w:rPr>
          <w:rFonts w:ascii="Century" w:hAnsi="Century" w:cs="Miriam" w:hint="cs"/>
          <w:b/>
          <w:spacing w:val="0"/>
          <w:sz w:val="22"/>
          <w:szCs w:val="24"/>
          <w:rtl/>
        </w:rPr>
        <w:t>סוכובולסקי, כהן וארליך</w:t>
      </w:r>
      <w:r w:rsidRPr="00643EF4">
        <w:rPr>
          <w:rFonts w:ascii="Century" w:hAnsi="Century" w:hint="cs"/>
          <w:sz w:val="22"/>
          <w:rtl/>
        </w:rPr>
        <w:t xml:space="preserve">); </w:t>
      </w:r>
      <w:r w:rsidRPr="00643EF4">
        <w:rPr>
          <w:rFonts w:ascii="Century" w:hAnsi="Century" w:cs="Miriam" w:hint="cs"/>
          <w:b/>
          <w:spacing w:val="0"/>
          <w:sz w:val="22"/>
          <w:szCs w:val="24"/>
          <w:rtl/>
        </w:rPr>
        <w:t>וינצקי וקרמר</w:t>
      </w:r>
      <w:r w:rsidRPr="00643EF4">
        <w:rPr>
          <w:rFonts w:ascii="Century" w:hAnsi="Century" w:hint="cs"/>
          <w:sz w:val="22"/>
          <w:rtl/>
        </w:rPr>
        <w:t>, בעמ' 135-134)</w:t>
      </w:r>
      <w:r w:rsidRPr="00643EF4">
        <w:rPr>
          <w:rFonts w:hint="cs"/>
          <w:rtl/>
        </w:rPr>
        <w:t>. המדינה, אף שהיא רשאית לעשות כן, אינה נוהגת להגיש בקשות לרישום ראשון של אדמות מדינה באזור (</w:t>
      </w:r>
      <w:r w:rsidRPr="00643EF4">
        <w:rPr>
          <w:rFonts w:ascii="Century" w:hAnsi="Century" w:cs="Miriam" w:hint="cs"/>
          <w:b/>
          <w:spacing w:val="0"/>
          <w:sz w:val="22"/>
          <w:szCs w:val="24"/>
          <w:rtl/>
        </w:rPr>
        <w:t>דיני רישום מקרקעין</w:t>
      </w:r>
      <w:r w:rsidRPr="00643EF4">
        <w:rPr>
          <w:rFonts w:ascii="Century" w:hAnsi="Century" w:hint="cs"/>
          <w:sz w:val="22"/>
          <w:rtl/>
        </w:rPr>
        <w:t>, בעמ' 297).</w:t>
      </w:r>
    </w:p>
    <w:p w14:paraId="792DCB02" w14:textId="77777777" w:rsidR="000E5D20" w:rsidRPr="00643EF4" w:rsidRDefault="000E5D20" w:rsidP="000E5D20">
      <w:pPr>
        <w:pStyle w:val="Ruller4"/>
        <w:numPr>
          <w:ilvl w:val="0"/>
          <w:numId w:val="0"/>
        </w:numPr>
        <w:rPr>
          <w:rtl/>
        </w:rPr>
      </w:pPr>
      <w:r w:rsidRPr="00643EF4">
        <w:rPr>
          <w:rtl/>
        </w:rPr>
        <w:tab/>
      </w:r>
      <w:r w:rsidRPr="00643EF4">
        <w:rPr>
          <w:rFonts w:hint="cs"/>
          <w:rtl/>
        </w:rPr>
        <w:t xml:space="preserve"> </w:t>
      </w:r>
    </w:p>
    <w:p w14:paraId="6CD21538" w14:textId="77777777" w:rsidR="000E5D20" w:rsidRPr="00643EF4" w:rsidRDefault="000E5D20" w:rsidP="000E5D20">
      <w:pPr>
        <w:pStyle w:val="Ruller4"/>
        <w:tabs>
          <w:tab w:val="num" w:pos="10307"/>
        </w:tabs>
        <w:rPr>
          <w:rtl/>
        </w:rPr>
      </w:pPr>
      <w:r w:rsidRPr="00643EF4">
        <w:rPr>
          <w:rFonts w:hint="cs"/>
          <w:rtl/>
        </w:rPr>
        <w:t>מקרקעין שלא עברו הליך של הסדר ו</w:t>
      </w:r>
      <w:r w:rsidRPr="00643EF4">
        <w:rPr>
          <w:rFonts w:ascii="Century" w:hAnsi="Century" w:cs="Miriam" w:hint="cs"/>
          <w:b/>
          <w:spacing w:val="0"/>
          <w:sz w:val="22"/>
          <w:szCs w:val="24"/>
          <w:rtl/>
        </w:rPr>
        <w:t>שאינם רשומים</w:t>
      </w:r>
      <w:r w:rsidRPr="00643EF4">
        <w:rPr>
          <w:rFonts w:ascii="Century" w:hAnsi="Century" w:hint="cs"/>
          <w:sz w:val="22"/>
          <w:rtl/>
        </w:rPr>
        <w:t>, סיווגם כ</w:t>
      </w:r>
      <w:r w:rsidRPr="00643EF4">
        <w:rPr>
          <w:rFonts w:ascii="Century" w:hAnsi="Century" w:cs="Miriam" w:hint="cs"/>
          <w:b/>
          <w:spacing w:val="0"/>
          <w:sz w:val="22"/>
          <w:szCs w:val="24"/>
          <w:rtl/>
        </w:rPr>
        <w:t>רכוש ממשלתי</w:t>
      </w:r>
      <w:r w:rsidRPr="00643EF4">
        <w:rPr>
          <w:rFonts w:ascii="Century" w:hAnsi="Century" w:hint="cs"/>
          <w:sz w:val="22"/>
          <w:rtl/>
        </w:rPr>
        <w:t xml:space="preserve"> דורש הליך של "הכרזה" לפי סעיף 2ג לצו בדבר רכוש ממשלתי. הליך זה נועד לברר את מעמדם של המקרקעין ולקבוע </w:t>
      </w:r>
      <w:r w:rsidRPr="00643EF4">
        <w:rPr>
          <w:rFonts w:ascii="Century" w:hAnsi="Century" w:cs="Miriam" w:hint="cs"/>
          <w:b/>
          <w:spacing w:val="0"/>
          <w:sz w:val="22"/>
          <w:szCs w:val="24"/>
          <w:rtl/>
        </w:rPr>
        <w:t>חזקה לכאורית</w:t>
      </w:r>
      <w:r w:rsidRPr="00643EF4">
        <w:rPr>
          <w:rFonts w:ascii="Century" w:hAnsi="Century" w:hint="cs"/>
          <w:sz w:val="22"/>
          <w:rtl/>
        </w:rPr>
        <w:t xml:space="preserve"> לגבי היותם רכוש ממשלתי. </w:t>
      </w:r>
      <w:r w:rsidRPr="00643EF4">
        <w:rPr>
          <w:rFonts w:hint="cs"/>
          <w:rtl/>
        </w:rPr>
        <w:t>בשונה מהליכי הסדר מקרקעין או רישום ראשון,</w:t>
      </w:r>
      <w:r w:rsidRPr="00643EF4">
        <w:rPr>
          <w:rFonts w:ascii="Century" w:hAnsi="Century" w:hint="cs"/>
          <w:sz w:val="22"/>
          <w:rtl/>
        </w:rPr>
        <w:t xml:space="preserve"> מדובר ב</w:t>
      </w:r>
      <w:r w:rsidRPr="00643EF4">
        <w:rPr>
          <w:rFonts w:hint="cs"/>
          <w:rtl/>
        </w:rPr>
        <w:t xml:space="preserve">הליך מינהלי של הכרזה אשר אין בכוחה </w:t>
      </w:r>
      <w:r w:rsidRPr="00643EF4">
        <w:rPr>
          <w:rFonts w:hint="cs"/>
          <w:rtl/>
        </w:rPr>
        <w:lastRenderedPageBreak/>
        <w:t>לשנות את הזכויות במקרקעין (</w:t>
      </w:r>
      <w:r w:rsidRPr="00643EF4">
        <w:rPr>
          <w:rFonts w:ascii="Century" w:hAnsi="Century" w:hint="cs"/>
          <w:sz w:val="22"/>
          <w:rtl/>
        </w:rPr>
        <w:t xml:space="preserve">בג"ץ 285/81 </w:t>
      </w:r>
      <w:r w:rsidRPr="00643EF4">
        <w:rPr>
          <w:rFonts w:ascii="Century" w:hAnsi="Century" w:cs="Miriam" w:hint="cs"/>
          <w:b/>
          <w:spacing w:val="0"/>
          <w:sz w:val="22"/>
          <w:szCs w:val="24"/>
          <w:rtl/>
        </w:rPr>
        <w:t>אל נאזר נ' מפקד יהודה ושומרון</w:t>
      </w:r>
      <w:r w:rsidRPr="00643EF4">
        <w:rPr>
          <w:rFonts w:ascii="Century" w:hAnsi="Century" w:hint="cs"/>
          <w:sz w:val="22"/>
          <w:rtl/>
        </w:rPr>
        <w:t>, פ"ד לו(1) 701, 705 (1982);</w:t>
      </w:r>
      <w:r w:rsidRPr="00643EF4">
        <w:rPr>
          <w:rFonts w:hint="cs"/>
          <w:rtl/>
        </w:rPr>
        <w:t xml:space="preserve"> בג"ץ 3998/06 </w:t>
      </w:r>
      <w:r w:rsidRPr="00643EF4">
        <w:rPr>
          <w:rFonts w:ascii="Century" w:hAnsi="Century" w:cs="Miriam" w:hint="cs"/>
          <w:b/>
          <w:spacing w:val="0"/>
          <w:sz w:val="22"/>
          <w:szCs w:val="24"/>
          <w:rtl/>
        </w:rPr>
        <w:t>יאסין נ' המפקד הצבאי בגדה המערבית</w:t>
      </w:r>
      <w:r w:rsidRPr="00643EF4">
        <w:rPr>
          <w:rFonts w:ascii="Century" w:hAnsi="Century" w:hint="cs"/>
          <w:sz w:val="22"/>
          <w:rtl/>
        </w:rPr>
        <w:t xml:space="preserve">, פסקה 1 (9.11.2006); </w:t>
      </w:r>
      <w:r w:rsidRPr="00643EF4">
        <w:rPr>
          <w:rFonts w:hint="cs"/>
          <w:rtl/>
        </w:rPr>
        <w:t xml:space="preserve">בג"ץ 5470/17 </w:t>
      </w:r>
      <w:r w:rsidRPr="00643EF4">
        <w:rPr>
          <w:rFonts w:ascii="Century" w:hAnsi="Century" w:cs="Miriam" w:hint="cs"/>
          <w:b/>
          <w:spacing w:val="0"/>
          <w:sz w:val="22"/>
          <w:szCs w:val="24"/>
          <w:rtl/>
        </w:rPr>
        <w:t>מוחמד נ' שר הביטחון</w:t>
      </w:r>
      <w:r w:rsidRPr="00643EF4">
        <w:rPr>
          <w:rFonts w:ascii="Century" w:hAnsi="Century" w:hint="cs"/>
          <w:sz w:val="22"/>
          <w:rtl/>
        </w:rPr>
        <w:t>, פסקה 4 (9.10.2018)</w:t>
      </w:r>
      <w:r w:rsidRPr="00643EF4">
        <w:rPr>
          <w:rFonts w:hint="cs"/>
          <w:rtl/>
        </w:rPr>
        <w:t xml:space="preserve"> (להלן: עניין </w:t>
      </w:r>
      <w:r w:rsidRPr="00643EF4">
        <w:rPr>
          <w:rFonts w:ascii="Century" w:hAnsi="Century" w:cs="Miriam" w:hint="cs"/>
          <w:b/>
          <w:spacing w:val="0"/>
          <w:sz w:val="22"/>
          <w:szCs w:val="24"/>
          <w:rtl/>
        </w:rPr>
        <w:t>עמיחי</w:t>
      </w:r>
      <w:r w:rsidRPr="00643EF4">
        <w:rPr>
          <w:rFonts w:ascii="Century" w:hAnsi="Century" w:hint="cs"/>
          <w:sz w:val="22"/>
          <w:rtl/>
        </w:rPr>
        <w:t xml:space="preserve">); ראו עוד </w:t>
      </w:r>
      <w:r w:rsidRPr="00643EF4">
        <w:rPr>
          <w:rFonts w:ascii="Century" w:hAnsi="Century" w:cs="Miriam" w:hint="cs"/>
          <w:b/>
          <w:spacing w:val="0"/>
          <w:sz w:val="22"/>
          <w:szCs w:val="24"/>
          <w:rtl/>
        </w:rPr>
        <w:t>דיני רישום מקרקעין</w:t>
      </w:r>
      <w:r w:rsidRPr="00643EF4">
        <w:rPr>
          <w:rFonts w:ascii="Century" w:hAnsi="Century" w:hint="cs"/>
          <w:sz w:val="22"/>
          <w:rtl/>
        </w:rPr>
        <w:t>, בעמ' 42). על כן, הליך ההכרזה אינו סופי ואינו מונע העלאת טענות לזכויות פרטיות במקרקעין המוכרזים</w:t>
      </w:r>
      <w:r w:rsidRPr="00643EF4">
        <w:rPr>
          <w:rFonts w:hint="cs"/>
          <w:rtl/>
        </w:rPr>
        <w:t xml:space="preserve">. </w:t>
      </w:r>
    </w:p>
    <w:p w14:paraId="5284EB2C" w14:textId="77777777" w:rsidR="000E5D20" w:rsidRPr="00643EF4" w:rsidRDefault="000E5D20" w:rsidP="000E5D20">
      <w:pPr>
        <w:pStyle w:val="Ruller41"/>
        <w:rPr>
          <w:rtl/>
        </w:rPr>
      </w:pPr>
    </w:p>
    <w:p w14:paraId="503ECB21" w14:textId="77777777" w:rsidR="000E5D20" w:rsidRPr="00643EF4" w:rsidRDefault="000E5D20" w:rsidP="000E5D20">
      <w:pPr>
        <w:pStyle w:val="Ruller4"/>
        <w:tabs>
          <w:tab w:val="num" w:pos="10307"/>
        </w:tabs>
      </w:pPr>
      <w:r w:rsidRPr="00643EF4">
        <w:rPr>
          <w:rFonts w:hint="cs"/>
          <w:rtl/>
        </w:rPr>
        <w:t xml:space="preserve">ההכרזה על המקרקעין כעל רכוש ממשלתי נעשית לאחר בדיקות שנועדו לוודא שאין בעלות או החזקה פרטית במקרקעין, והן כוללות בדיקה בפנקסי רישום המקרקעין, בדיקה בשטח ובדיקת תצלומי אוויר משנים קודמות על מנת לברר את מצב העיבוד בשטח לאורך השנים. כחלק מהליך ההכרזה גבולות המקרקעין מסומנים בשטח באופן בולט והממונה מוציא למקרקעין תעודה שמתפרסמת על דרך תלייתה במפקדות תיאום וקישור נפתיות (טליה ששון </w:t>
      </w:r>
      <w:r w:rsidRPr="00643EF4">
        <w:rPr>
          <w:rFonts w:ascii="Century" w:hAnsi="Century" w:cs="Miriam" w:hint="cs"/>
          <w:b/>
          <w:spacing w:val="0"/>
          <w:sz w:val="22"/>
          <w:szCs w:val="24"/>
          <w:rtl/>
        </w:rPr>
        <w:t>חוות דעת (ביניים) בנושא מאחזים בלתי מורשים</w:t>
      </w:r>
      <w:r w:rsidRPr="00643EF4">
        <w:rPr>
          <w:rFonts w:hint="cs"/>
          <w:b/>
          <w:bCs/>
          <w:rtl/>
        </w:rPr>
        <w:t xml:space="preserve"> </w:t>
      </w:r>
      <w:r w:rsidRPr="00643EF4">
        <w:rPr>
          <w:rFonts w:hint="cs"/>
          <w:rtl/>
        </w:rPr>
        <w:t xml:space="preserve">81-80 (2005) (להלן: </w:t>
      </w:r>
      <w:r w:rsidRPr="00643EF4">
        <w:rPr>
          <w:rFonts w:ascii="Century" w:hAnsi="Century" w:cs="Miriam" w:hint="cs"/>
          <w:b/>
          <w:spacing w:val="0"/>
          <w:sz w:val="22"/>
          <w:szCs w:val="24"/>
          <w:rtl/>
        </w:rPr>
        <w:t>דו"ח ששון</w:t>
      </w:r>
      <w:r w:rsidRPr="00643EF4">
        <w:rPr>
          <w:rFonts w:ascii="Century" w:hAnsi="Century" w:hint="cs"/>
          <w:sz w:val="22"/>
          <w:rtl/>
        </w:rPr>
        <w:t>)</w:t>
      </w:r>
      <w:r w:rsidRPr="00643EF4">
        <w:rPr>
          <w:rFonts w:hint="cs"/>
          <w:rtl/>
        </w:rPr>
        <w:t xml:space="preserve">; ראו עוד </w:t>
      </w:r>
      <w:r w:rsidRPr="00643EF4">
        <w:rPr>
          <w:rFonts w:ascii="Century" w:hAnsi="Century" w:cs="Miriam" w:hint="cs"/>
          <w:b/>
          <w:spacing w:val="0"/>
          <w:sz w:val="22"/>
          <w:szCs w:val="24"/>
          <w:rtl/>
        </w:rPr>
        <w:t>איל זמיר</w:t>
      </w:r>
      <w:r w:rsidRPr="00643EF4">
        <w:rPr>
          <w:rFonts w:ascii="Century" w:hAnsi="Century" w:hint="cs"/>
          <w:sz w:val="22"/>
          <w:rtl/>
        </w:rPr>
        <w:t>, בעמ' 33-32</w:t>
      </w:r>
      <w:r w:rsidRPr="00643EF4">
        <w:rPr>
          <w:rFonts w:hint="cs"/>
          <w:rtl/>
        </w:rPr>
        <w:t xml:space="preserve">; פליאה אלבק "השימוש בקרקעות ביהודה ובשומרון לצורך ההתיישבות היהודית היבטים משפטיים ומבחן המציאות" </w:t>
      </w:r>
      <w:r w:rsidRPr="00643EF4">
        <w:rPr>
          <w:rFonts w:ascii="Century" w:hAnsi="Century" w:cs="Miriam" w:hint="cs"/>
          <w:b/>
          <w:spacing w:val="0"/>
          <w:sz w:val="22"/>
          <w:szCs w:val="24"/>
          <w:rtl/>
        </w:rPr>
        <w:t>העלייה אל ההר ההתיישבות היהודית המתחדשת ביהודה ושומרון</w:t>
      </w:r>
      <w:r w:rsidRPr="00643EF4">
        <w:rPr>
          <w:rFonts w:ascii="Century" w:hAnsi="Century" w:hint="cs"/>
          <w:sz w:val="22"/>
          <w:rtl/>
        </w:rPr>
        <w:t xml:space="preserve"> 221, </w:t>
      </w:r>
      <w:r w:rsidRPr="00643EF4">
        <w:rPr>
          <w:rFonts w:ascii="Century" w:hAnsi="Century"/>
          <w:sz w:val="22"/>
          <w:rtl/>
        </w:rPr>
        <w:t>227-226</w:t>
      </w:r>
      <w:r w:rsidRPr="00643EF4">
        <w:rPr>
          <w:rFonts w:ascii="Century" w:hAnsi="Century" w:hint="cs"/>
          <w:sz w:val="22"/>
          <w:rtl/>
        </w:rPr>
        <w:t xml:space="preserve"> (2002)</w:t>
      </w:r>
      <w:r w:rsidRPr="00643EF4">
        <w:rPr>
          <w:rFonts w:hint="cs"/>
          <w:rtl/>
        </w:rPr>
        <w:t xml:space="preserve">). כל הרואה עצמו נפגע מההכרזה, רשאי להגיש ערר לוועדת העררים הפועלת מכוח צו בדבר ועדות עררים (יהודה והשומרון) מס' 172, התשכ"ח-1967 (עניין </w:t>
      </w:r>
      <w:r w:rsidRPr="00643EF4">
        <w:rPr>
          <w:rFonts w:ascii="Century" w:hAnsi="Century" w:cs="Miriam" w:hint="cs"/>
          <w:b/>
          <w:spacing w:val="0"/>
          <w:szCs w:val="24"/>
          <w:rtl/>
        </w:rPr>
        <w:t>עמיחי</w:t>
      </w:r>
      <w:r w:rsidRPr="00643EF4">
        <w:rPr>
          <w:rFonts w:ascii="Century" w:hAnsi="Century" w:hint="cs"/>
          <w:rtl/>
        </w:rPr>
        <w:t xml:space="preserve">, </w:t>
      </w:r>
      <w:r w:rsidRPr="00643EF4">
        <w:rPr>
          <w:rFonts w:ascii="Century" w:hAnsi="Century" w:hint="eastAsia"/>
          <w:sz w:val="22"/>
          <w:rtl/>
        </w:rPr>
        <w:t>פסקה</w:t>
      </w:r>
      <w:r w:rsidRPr="00643EF4">
        <w:rPr>
          <w:rFonts w:ascii="Century" w:hAnsi="Century"/>
          <w:sz w:val="22"/>
          <w:rtl/>
        </w:rPr>
        <w:t xml:space="preserve"> 4</w:t>
      </w:r>
      <w:r w:rsidRPr="00643EF4">
        <w:rPr>
          <w:rFonts w:hint="cs"/>
          <w:rtl/>
        </w:rPr>
        <w:t xml:space="preserve">). </w:t>
      </w:r>
    </w:p>
    <w:p w14:paraId="14038A28" w14:textId="77777777" w:rsidR="000E5D20" w:rsidRPr="00643EF4" w:rsidRDefault="000E5D20" w:rsidP="000E5D20">
      <w:pPr>
        <w:pStyle w:val="Ruller4"/>
        <w:numPr>
          <w:ilvl w:val="0"/>
          <w:numId w:val="0"/>
        </w:numPr>
        <w:rPr>
          <w:rtl/>
        </w:rPr>
      </w:pPr>
    </w:p>
    <w:p w14:paraId="66D7D9D9" w14:textId="77777777" w:rsidR="000E5D20" w:rsidRPr="00643EF4" w:rsidRDefault="000E5D20" w:rsidP="000E5D20">
      <w:pPr>
        <w:pStyle w:val="Ruller4"/>
        <w:numPr>
          <w:ilvl w:val="0"/>
          <w:numId w:val="0"/>
        </w:numPr>
        <w:rPr>
          <w:rtl/>
        </w:rPr>
      </w:pPr>
      <w:r w:rsidRPr="00643EF4">
        <w:rPr>
          <w:rtl/>
        </w:rPr>
        <w:tab/>
      </w:r>
      <w:r w:rsidRPr="00643EF4">
        <w:rPr>
          <w:rFonts w:hint="cs"/>
          <w:rtl/>
        </w:rPr>
        <w:t xml:space="preserve">היועץ המשפטי לממשלה בתגובתו לעתירות, עמד על כך שמאז שנות ה-80 של המאה הקודמת היה הליך הכרזה על מקרקעין כ"רכוש ממשלתי" תנאי לנטילת חזקה במקרקעין על ידי הממונה והקצאתם לטובת התיישבות ישראלית באזור (ראו גם </w:t>
      </w:r>
      <w:r w:rsidRPr="00643EF4">
        <w:rPr>
          <w:rFonts w:ascii="Century" w:hAnsi="Century" w:cs="Miriam" w:hint="cs"/>
          <w:b/>
          <w:spacing w:val="0"/>
          <w:szCs w:val="24"/>
          <w:rtl/>
        </w:rPr>
        <w:t>דו"ח ששון</w:t>
      </w:r>
      <w:r w:rsidRPr="00643EF4">
        <w:rPr>
          <w:rFonts w:ascii="Century" w:hAnsi="Century" w:hint="cs"/>
          <w:rtl/>
        </w:rPr>
        <w:t>, בעמ' 20-19</w:t>
      </w:r>
      <w:r w:rsidRPr="00643EF4">
        <w:rPr>
          <w:rFonts w:hint="cs"/>
          <w:rtl/>
        </w:rPr>
        <w:t xml:space="preserve">). הקצאה זו נעשית בשלבים </w:t>
      </w:r>
      <w:r w:rsidRPr="00643EF4">
        <w:rPr>
          <w:rtl/>
        </w:rPr>
        <w:t>–</w:t>
      </w:r>
      <w:r w:rsidRPr="00643EF4">
        <w:rPr>
          <w:rFonts w:hint="cs"/>
          <w:rtl/>
        </w:rPr>
        <w:t xml:space="preserve"> תחילה ניתנת הרשאה לתכנון ולפיתוח ובסוף התהליך חותם הממונה על חוזה חכירה מול מתקשר, שהוא לרוב גוף מיישב. </w:t>
      </w:r>
    </w:p>
    <w:p w14:paraId="01CD5851" w14:textId="77777777" w:rsidR="000E5D20" w:rsidRPr="00643EF4" w:rsidRDefault="000E5D20" w:rsidP="000E5D20">
      <w:pPr>
        <w:pStyle w:val="Ruller41"/>
        <w:rPr>
          <w:rtl/>
        </w:rPr>
      </w:pPr>
    </w:p>
    <w:p w14:paraId="747FF6CB" w14:textId="7DBDDA11" w:rsidR="008B71F9" w:rsidRPr="00643EF4" w:rsidRDefault="000E5D20" w:rsidP="000E5D20">
      <w:pPr>
        <w:pStyle w:val="Ruller4"/>
        <w:tabs>
          <w:tab w:val="num" w:pos="10307"/>
        </w:tabs>
        <w:rPr>
          <w:rtl/>
        </w:rPr>
      </w:pPr>
      <w:r w:rsidRPr="00643EF4">
        <w:rPr>
          <w:rFonts w:hint="cs"/>
          <w:rtl/>
        </w:rPr>
        <w:t xml:space="preserve">בשנות ה-80 וה-90 של המאה הקודמת בוצעו הכרזות על מקרקעין כ"רכוש ממשלתי" לפי המתכונת האמורה, ואולם לנוכח אי דיוקים שהתגלו בתרשימים שבוצעו והקושי בהעברתם למערכת ממוחשבת, הוחלט במנהל האזרחי שיש לקבוע מתכונת עבודה מסודרת ולבצע בחינה מחודשת של כל התעודות בדבר הכרזה על אדמות מדינה. לשם כך הוקם "צוות סטטוס מקרקעין" (להלן: </w:t>
      </w:r>
      <w:r w:rsidRPr="00643EF4">
        <w:rPr>
          <w:rFonts w:ascii="Century" w:hAnsi="Century" w:cs="Miriam" w:hint="cs"/>
          <w:b/>
          <w:spacing w:val="0"/>
          <w:sz w:val="22"/>
          <w:szCs w:val="24"/>
          <w:rtl/>
        </w:rPr>
        <w:t>צוות קו כחול</w:t>
      </w:r>
      <w:r w:rsidRPr="00643EF4">
        <w:rPr>
          <w:rFonts w:hint="cs"/>
          <w:rtl/>
        </w:rPr>
        <w:t xml:space="preserve">), שנדרש לבדוק הכרזות על אדמות מדינה שבוצעו על ידי הממונה ולדייק, ככל הניתן, את גבולות השטח הנכלל בהכרזה (להרחבה על עבודת צוות קו כחול ראו בעניין </w:t>
      </w:r>
      <w:r w:rsidRPr="00643EF4">
        <w:rPr>
          <w:rFonts w:ascii="Century" w:hAnsi="Century" w:cs="Miriam" w:hint="cs"/>
          <w:b/>
          <w:spacing w:val="0"/>
          <w:sz w:val="22"/>
          <w:szCs w:val="24"/>
          <w:rtl/>
        </w:rPr>
        <w:t>עמיחי</w:t>
      </w:r>
      <w:r w:rsidRPr="00643EF4">
        <w:rPr>
          <w:rFonts w:ascii="Century" w:hAnsi="Century" w:hint="cs"/>
          <w:sz w:val="22"/>
          <w:rtl/>
        </w:rPr>
        <w:t xml:space="preserve">, </w:t>
      </w:r>
      <w:r w:rsidRPr="00643EF4">
        <w:rPr>
          <w:rFonts w:ascii="Century" w:hAnsi="Century" w:hint="eastAsia"/>
          <w:sz w:val="22"/>
          <w:rtl/>
        </w:rPr>
        <w:t>פסקה</w:t>
      </w:r>
      <w:r w:rsidRPr="00643EF4">
        <w:rPr>
          <w:rFonts w:ascii="Century" w:hAnsi="Century"/>
          <w:sz w:val="22"/>
          <w:rtl/>
        </w:rPr>
        <w:t xml:space="preserve"> 4</w:t>
      </w:r>
      <w:r w:rsidRPr="00643EF4">
        <w:rPr>
          <w:rFonts w:hint="cs"/>
          <w:rtl/>
        </w:rPr>
        <w:t xml:space="preserve">). בעקבות פעילות צוות קו כחול התברר כי לא מעט מקרקעין אשר נחשבו לכתחילה כאדמות מדינה מוכרזות ועליהם הוקמו מבנים לצורכי התיישבות ישראלית באזור </w:t>
      </w:r>
      <w:r w:rsidRPr="00643EF4">
        <w:rPr>
          <w:rtl/>
        </w:rPr>
        <w:t>–</w:t>
      </w:r>
      <w:r w:rsidRPr="00643EF4">
        <w:rPr>
          <w:rFonts w:hint="cs"/>
          <w:rtl/>
        </w:rPr>
        <w:t xml:space="preserve"> לרבות על פי תכניות מתאר שאושרו כדין </w:t>
      </w:r>
      <w:r w:rsidRPr="00643EF4">
        <w:rPr>
          <w:rtl/>
        </w:rPr>
        <w:t>–</w:t>
      </w:r>
      <w:r w:rsidRPr="00643EF4">
        <w:rPr>
          <w:rFonts w:hint="cs"/>
          <w:rtl/>
        </w:rPr>
        <w:t xml:space="preserve"> מצויים למעשה מחוץ לתחומי ההכרזה</w:t>
      </w:r>
      <w:r w:rsidR="00681E56" w:rsidRPr="00643EF4">
        <w:rPr>
          <w:rFonts w:hint="cs"/>
          <w:rtl/>
        </w:rPr>
        <w:t xml:space="preserve"> (</w:t>
      </w:r>
      <w:r w:rsidR="00FA5DAB" w:rsidRPr="00643EF4">
        <w:rPr>
          <w:rFonts w:hint="cs"/>
          <w:rtl/>
        </w:rPr>
        <w:t>ו</w:t>
      </w:r>
      <w:r w:rsidR="00653C86" w:rsidRPr="00643EF4">
        <w:rPr>
          <w:rFonts w:hint="cs"/>
          <w:rtl/>
        </w:rPr>
        <w:t>מנגד</w:t>
      </w:r>
      <w:r w:rsidR="006A057D" w:rsidRPr="00643EF4">
        <w:rPr>
          <w:rFonts w:hint="cs"/>
          <w:rtl/>
        </w:rPr>
        <w:t>,</w:t>
      </w:r>
      <w:r w:rsidR="00653C86" w:rsidRPr="00643EF4">
        <w:rPr>
          <w:rFonts w:hint="cs"/>
          <w:rtl/>
        </w:rPr>
        <w:t xml:space="preserve"> נוספו שטחים נוספים לאדמות המדינה המוכרזות, ראו </w:t>
      </w:r>
      <w:r w:rsidR="006A057D" w:rsidRPr="00643EF4">
        <w:rPr>
          <w:rFonts w:hint="cs"/>
          <w:rtl/>
        </w:rPr>
        <w:t xml:space="preserve">למשל: </w:t>
      </w:r>
      <w:r w:rsidR="00653C86" w:rsidRPr="00643EF4">
        <w:rPr>
          <w:rFonts w:hint="cs"/>
          <w:rtl/>
        </w:rPr>
        <w:t xml:space="preserve">בג"ץ 1953/19 </w:t>
      </w:r>
      <w:r w:rsidR="00653C86" w:rsidRPr="00643EF4">
        <w:rPr>
          <w:rFonts w:ascii="Miriam" w:hAnsi="Miriam" w:cs="Miriam"/>
          <w:szCs w:val="24"/>
          <w:rtl/>
        </w:rPr>
        <w:t xml:space="preserve">מועצת הכפר קריות נ' </w:t>
      </w:r>
      <w:r w:rsidR="00653C86" w:rsidRPr="00643EF4">
        <w:rPr>
          <w:rFonts w:ascii="Miriam" w:hAnsi="Miriam" w:cs="Miriam"/>
          <w:szCs w:val="24"/>
          <w:rtl/>
        </w:rPr>
        <w:lastRenderedPageBreak/>
        <w:t>ראש המנהל האזרחי</w:t>
      </w:r>
      <w:r w:rsidR="00653C86" w:rsidRPr="00643EF4">
        <w:rPr>
          <w:rFonts w:hint="cs"/>
          <w:rtl/>
        </w:rPr>
        <w:t xml:space="preserve"> (18.2.2020)</w:t>
      </w:r>
      <w:r w:rsidRPr="00643EF4">
        <w:rPr>
          <w:rFonts w:hint="cs"/>
          <w:rtl/>
        </w:rPr>
        <w:t>. אי הדיוקים האמורים נבעו, בין היתר, משיטת סימון לקויה על המפות הנוגעות למקרקעין שהוכרזו כאדמות מדינה, ומכך שתצלומי האוויר שעליהם התבסס הסימון לא היו מדויקים דיים (</w:t>
      </w:r>
      <w:r w:rsidRPr="00643EF4">
        <w:rPr>
          <w:rFonts w:ascii="Century" w:hAnsi="Century" w:cs="Miriam" w:hint="cs"/>
          <w:b/>
          <w:spacing w:val="0"/>
          <w:sz w:val="22"/>
          <w:szCs w:val="24"/>
          <w:rtl/>
        </w:rPr>
        <w:t>דו"ח ששון</w:t>
      </w:r>
      <w:r w:rsidRPr="00643EF4">
        <w:rPr>
          <w:rFonts w:ascii="Century" w:hAnsi="Century" w:hint="cs"/>
          <w:sz w:val="22"/>
          <w:rtl/>
        </w:rPr>
        <w:t>, בעמ' 81</w:t>
      </w:r>
      <w:r w:rsidRPr="00643EF4">
        <w:rPr>
          <w:rFonts w:hint="cs"/>
          <w:rtl/>
        </w:rPr>
        <w:t xml:space="preserve">). בעקבות כך, נגרעו מקרקעין רבים מהכרזתם כ"רכוש ממשלתי" וחל שינוי בסטטוס הנורמטיבי של הבינוי שהוקם עליהם. </w:t>
      </w:r>
    </w:p>
    <w:p w14:paraId="7763A859" w14:textId="77777777" w:rsidR="00EB7C18" w:rsidRPr="00643EF4" w:rsidRDefault="00EB7C18" w:rsidP="00EB7C18">
      <w:pPr>
        <w:pStyle w:val="Ruller41"/>
      </w:pPr>
    </w:p>
    <w:p w14:paraId="3DC1BFEB" w14:textId="3DF692ED" w:rsidR="000E5D20" w:rsidRPr="00643EF4" w:rsidRDefault="008B71F9" w:rsidP="00B4122B">
      <w:pPr>
        <w:pStyle w:val="Ruller4"/>
        <w:numPr>
          <w:ilvl w:val="0"/>
          <w:numId w:val="0"/>
        </w:numPr>
        <w:tabs>
          <w:tab w:val="num" w:pos="10307"/>
        </w:tabs>
      </w:pPr>
      <w:r w:rsidRPr="00643EF4">
        <w:rPr>
          <w:rtl/>
        </w:rPr>
        <w:tab/>
      </w:r>
      <w:r w:rsidR="000E5D20" w:rsidRPr="00643EF4">
        <w:rPr>
          <w:rFonts w:hint="cs"/>
          <w:rtl/>
        </w:rPr>
        <w:t xml:space="preserve">כיום מוגדרים כ-40% מהמקרקעין באזור כקרקע בבעלות המדינה או (במקרים מעטים) בבעלות של תושבים יהודים. מקרקעין בהיקף דומה אינם מוסדרים או מוסדרים בבעלות פלסטינית ויתר השטח הוא שמורות טבע או קרקע שלא ניתן להתיישב בה (עמיחי כהן "דין עמונה כדין תל אביב? התפרקותה של פרדיגמת הכיבוש בשטחים: בעקבות בג"ץ 9949/08 חמאד נ' שר הביטחון והחוק להסדרת ההתיישבות ביהודה ושומרון, התשע"ז-2017" </w:t>
      </w:r>
      <w:r w:rsidR="000E5D20" w:rsidRPr="00643EF4">
        <w:rPr>
          <w:rFonts w:ascii="Century" w:hAnsi="Century" w:cs="Miriam" w:hint="cs"/>
          <w:b/>
          <w:spacing w:val="0"/>
          <w:sz w:val="22"/>
          <w:szCs w:val="24"/>
          <w:rtl/>
        </w:rPr>
        <w:t>מבזקי הארות פסיקה</w:t>
      </w:r>
      <w:r w:rsidR="000E5D20" w:rsidRPr="00643EF4">
        <w:rPr>
          <w:rFonts w:ascii="Century" w:hAnsi="Century" w:hint="cs"/>
          <w:sz w:val="22"/>
          <w:rtl/>
        </w:rPr>
        <w:t xml:space="preserve"> 61 6, 17 (2017) (להלן: </w:t>
      </w:r>
      <w:r w:rsidR="000E5D20" w:rsidRPr="00643EF4">
        <w:rPr>
          <w:rFonts w:ascii="Century" w:hAnsi="Century" w:cs="Miriam" w:hint="cs"/>
          <w:b/>
          <w:spacing w:val="0"/>
          <w:sz w:val="22"/>
          <w:szCs w:val="24"/>
          <w:rtl/>
        </w:rPr>
        <w:t>התפרקותה של פרדיגמת הכיבוש בשטחים</w:t>
      </w:r>
      <w:r w:rsidR="000E5D20" w:rsidRPr="00643EF4">
        <w:rPr>
          <w:rFonts w:ascii="Century" w:hAnsi="Century" w:hint="cs"/>
          <w:sz w:val="22"/>
          <w:rtl/>
        </w:rPr>
        <w:t xml:space="preserve">)). </w:t>
      </w:r>
      <w:r w:rsidR="000E5D20" w:rsidRPr="00643EF4">
        <w:rPr>
          <w:rFonts w:hint="cs"/>
          <w:rtl/>
        </w:rPr>
        <w:t xml:space="preserve">מנתוני המינהל האזרחי המעודכנים לשנים 2016-1992 (מש/2 לתגובת הממשלה; להלן: </w:t>
      </w:r>
      <w:r w:rsidR="000E5D20" w:rsidRPr="00643EF4">
        <w:rPr>
          <w:rFonts w:ascii="Century" w:hAnsi="Century" w:cs="Miriam" w:hint="cs"/>
          <w:b/>
          <w:spacing w:val="0"/>
          <w:sz w:val="22"/>
          <w:szCs w:val="24"/>
          <w:rtl/>
        </w:rPr>
        <w:t>נתוני המינהל האזרחי</w:t>
      </w:r>
      <w:r w:rsidR="000E5D20" w:rsidRPr="00643EF4">
        <w:rPr>
          <w:rFonts w:hint="cs"/>
          <w:rtl/>
        </w:rPr>
        <w:t xml:space="preserve">), </w:t>
      </w:r>
      <w:r w:rsidR="00B4122B" w:rsidRPr="00643EF4">
        <w:rPr>
          <w:rFonts w:hint="cs"/>
          <w:rtl/>
        </w:rPr>
        <w:t xml:space="preserve">עולה כי </w:t>
      </w:r>
      <w:r w:rsidR="000E5D20" w:rsidRPr="00643EF4">
        <w:rPr>
          <w:rFonts w:hint="cs"/>
          <w:rtl/>
        </w:rPr>
        <w:t>כשליש מהמבנים הקיימים על מקרקעין ש</w:t>
      </w:r>
      <w:r w:rsidR="000E5D20" w:rsidRPr="00643EF4">
        <w:rPr>
          <w:rFonts w:ascii="Century" w:hAnsi="Century" w:cs="Miriam" w:hint="cs"/>
          <w:b/>
          <w:spacing w:val="0"/>
          <w:sz w:val="22"/>
          <w:szCs w:val="24"/>
          <w:rtl/>
        </w:rPr>
        <w:t>אינם בגדר רכוש ממשלתי</w:t>
      </w:r>
      <w:r w:rsidR="000E5D20" w:rsidRPr="00643EF4">
        <w:rPr>
          <w:rFonts w:ascii="Century" w:hAnsi="Century" w:hint="cs"/>
          <w:sz w:val="22"/>
          <w:rtl/>
        </w:rPr>
        <w:t>, הם מבנים שהוקמו על מקרקעין שלימים נגרעו מתחומי ההכרזה כתוצאה מפעילות צוות קו כחול.</w:t>
      </w:r>
    </w:p>
    <w:p w14:paraId="4CEC5F75" w14:textId="77777777" w:rsidR="000E5D20" w:rsidRPr="00643EF4" w:rsidRDefault="000E5D20" w:rsidP="000E5D20">
      <w:pPr>
        <w:pStyle w:val="Ruller41"/>
        <w:rPr>
          <w:rtl/>
        </w:rPr>
      </w:pPr>
    </w:p>
    <w:p w14:paraId="2316E81E" w14:textId="1E15E37A" w:rsidR="000E5D20" w:rsidRPr="00643EF4" w:rsidRDefault="000E5D20" w:rsidP="000E5D20">
      <w:pPr>
        <w:pStyle w:val="Ruller4"/>
        <w:tabs>
          <w:tab w:val="num" w:pos="10307"/>
        </w:tabs>
        <w:rPr>
          <w:rFonts w:ascii="Century" w:hAnsi="Century"/>
          <w:sz w:val="22"/>
        </w:rPr>
      </w:pPr>
      <w:r w:rsidRPr="00643EF4">
        <w:rPr>
          <w:rFonts w:ascii="Century" w:hAnsi="Century" w:hint="cs"/>
          <w:sz w:val="22"/>
          <w:rtl/>
        </w:rPr>
        <w:t>הלכה למעשה ובניגוד למדיניות המוצהרת של הממשלה</w:t>
      </w:r>
      <w:r w:rsidR="00B4122B" w:rsidRPr="00643EF4">
        <w:rPr>
          <w:rFonts w:ascii="Century" w:hAnsi="Century" w:hint="cs"/>
          <w:sz w:val="22"/>
          <w:rtl/>
        </w:rPr>
        <w:t>,</w:t>
      </w:r>
      <w:r w:rsidRPr="00643EF4">
        <w:rPr>
          <w:rFonts w:ascii="Century" w:hAnsi="Century" w:hint="cs"/>
          <w:sz w:val="22"/>
          <w:rtl/>
        </w:rPr>
        <w:t xml:space="preserve"> בוצעה לאורך השנים בנייה של התיישבות ישראלית באזור גם במקרקעין שאינם בגדר רכוש ממשלתי. בנייה זו, יש לומר, בוצעה בחלקה בסיוע ובתמיכה של מוסדות המדינה ורשויות אחרות (לעניין זה ראו </w:t>
      </w:r>
      <w:r w:rsidRPr="00643EF4">
        <w:rPr>
          <w:rFonts w:ascii="Century" w:hAnsi="Century" w:cs="Miriam" w:hint="cs"/>
          <w:b/>
          <w:spacing w:val="0"/>
          <w:sz w:val="22"/>
          <w:szCs w:val="24"/>
          <w:rtl/>
        </w:rPr>
        <w:t>דו"ח ששון</w:t>
      </w:r>
      <w:r w:rsidRPr="00643EF4">
        <w:rPr>
          <w:rFonts w:ascii="Century" w:hAnsi="Century" w:hint="cs"/>
          <w:sz w:val="22"/>
          <w:rtl/>
        </w:rPr>
        <w:t>, בעמ' 25 ואילך</w:t>
      </w:r>
      <w:r w:rsidRPr="00643EF4">
        <w:rPr>
          <w:rFonts w:hint="cs"/>
          <w:rtl/>
        </w:rPr>
        <w:t xml:space="preserve">. בעקבות דו"ח ששון הקימה הממשלה ועדה לגיבוש המלצות ליישום מסקנותיו </w:t>
      </w:r>
      <w:r w:rsidRPr="00643EF4">
        <w:rPr>
          <w:rtl/>
        </w:rPr>
        <w:t>–</w:t>
      </w:r>
      <w:r w:rsidRPr="00643EF4">
        <w:rPr>
          <w:rFonts w:hint="cs"/>
          <w:rtl/>
        </w:rPr>
        <w:t xml:space="preserve"> ראו החלטה מס' 3376 "</w:t>
      </w:r>
      <w:r w:rsidRPr="00643EF4">
        <w:rPr>
          <w:rFonts w:ascii="Century" w:hAnsi="Century"/>
          <w:sz w:val="22"/>
          <w:rtl/>
        </w:rPr>
        <w:t>חוות-הדעת של עו"ד טליה ששון בנושא מאחזים בלתי-מורשים</w:t>
      </w:r>
      <w:r w:rsidRPr="00643EF4">
        <w:rPr>
          <w:rFonts w:hint="cs"/>
          <w:rtl/>
        </w:rPr>
        <w:t>" מיום 13.3.2005;</w:t>
      </w:r>
      <w:r w:rsidRPr="00643EF4">
        <w:rPr>
          <w:rFonts w:ascii="Century" w:hAnsi="Century" w:hint="cs"/>
          <w:sz w:val="22"/>
          <w:rtl/>
        </w:rPr>
        <w:t xml:space="preserve"> אדמונד</w:t>
      </w:r>
      <w:r w:rsidRPr="00643EF4">
        <w:rPr>
          <w:rFonts w:ascii="Century" w:hAnsi="Century" w:hint="cs"/>
          <w:rtl/>
        </w:rPr>
        <w:t xml:space="preserve"> לוי, תחיה שפירא ואלן בייקר </w:t>
      </w:r>
      <w:r w:rsidRPr="00643EF4">
        <w:rPr>
          <w:rFonts w:ascii="Century" w:hAnsi="Century" w:cs="Miriam" w:hint="cs"/>
          <w:b/>
          <w:spacing w:val="0"/>
          <w:sz w:val="22"/>
          <w:szCs w:val="24"/>
          <w:rtl/>
        </w:rPr>
        <w:t>דו"ח על מעמד הבניה באזור יהודה ושומרון</w:t>
      </w:r>
      <w:r w:rsidRPr="00643EF4">
        <w:rPr>
          <w:rFonts w:ascii="Century" w:hAnsi="Century" w:hint="cs"/>
          <w:rtl/>
        </w:rPr>
        <w:t xml:space="preserve"> 56-53 (21.6.2012) </w:t>
      </w:r>
      <w:r w:rsidRPr="00643EF4">
        <w:rPr>
          <w:rFonts w:ascii="Century" w:hAnsi="Century" w:hint="cs"/>
          <w:sz w:val="22"/>
          <w:rtl/>
        </w:rPr>
        <w:t xml:space="preserve">(להלן: </w:t>
      </w:r>
      <w:r w:rsidRPr="00643EF4">
        <w:rPr>
          <w:rFonts w:ascii="Century" w:hAnsi="Century" w:cs="Miriam" w:hint="cs"/>
          <w:b/>
          <w:spacing w:val="0"/>
          <w:sz w:val="22"/>
          <w:szCs w:val="24"/>
          <w:rtl/>
        </w:rPr>
        <w:t>דו"ח לוי</w:t>
      </w:r>
      <w:r w:rsidRPr="00643EF4">
        <w:rPr>
          <w:rFonts w:ascii="Century" w:hAnsi="Century" w:hint="cs"/>
          <w:sz w:val="22"/>
          <w:rtl/>
        </w:rPr>
        <w:t>);</w:t>
      </w:r>
      <w:r w:rsidRPr="00643EF4">
        <w:rPr>
          <w:rFonts w:ascii="Century" w:hAnsi="Century" w:cs="Miriam" w:hint="cs"/>
          <w:b/>
          <w:spacing w:val="0"/>
          <w:sz w:val="22"/>
          <w:szCs w:val="24"/>
          <w:rtl/>
        </w:rPr>
        <w:t xml:space="preserve"> </w:t>
      </w:r>
      <w:r w:rsidRPr="00643EF4">
        <w:rPr>
          <w:rFonts w:ascii="Century" w:hAnsi="Century" w:hint="cs"/>
          <w:sz w:val="22"/>
          <w:rtl/>
        </w:rPr>
        <w:t xml:space="preserve">מבקר המדינה </w:t>
      </w:r>
      <w:r w:rsidRPr="00643EF4">
        <w:rPr>
          <w:rFonts w:ascii="Century" w:hAnsi="Century" w:cs="Miriam" w:hint="cs"/>
          <w:b/>
          <w:spacing w:val="0"/>
          <w:sz w:val="22"/>
          <w:szCs w:val="24"/>
          <w:rtl/>
        </w:rPr>
        <w:t>דו"ח שנתי 56א לשנת 2005</w:t>
      </w:r>
      <w:r w:rsidRPr="00643EF4">
        <w:rPr>
          <w:rFonts w:ascii="Century" w:hAnsi="Century" w:hint="cs"/>
          <w:sz w:val="22"/>
          <w:rtl/>
        </w:rPr>
        <w:t xml:space="preserve"> 216 (2005)</w:t>
      </w:r>
      <w:r w:rsidRPr="00643EF4">
        <w:rPr>
          <w:rFonts w:ascii="Century" w:hAnsi="Century" w:cs="Miriam" w:hint="cs"/>
          <w:b/>
          <w:spacing w:val="0"/>
          <w:sz w:val="22"/>
          <w:szCs w:val="24"/>
          <w:rtl/>
        </w:rPr>
        <w:t xml:space="preserve"> </w:t>
      </w:r>
      <w:r w:rsidRPr="00643EF4">
        <w:rPr>
          <w:rFonts w:ascii="Century" w:hAnsi="Century" w:hint="cs"/>
          <w:sz w:val="22"/>
          <w:rtl/>
        </w:rPr>
        <w:t>(להלן:</w:t>
      </w:r>
      <w:r w:rsidRPr="00643EF4">
        <w:rPr>
          <w:rFonts w:ascii="Century" w:hAnsi="Century" w:cs="Miriam" w:hint="cs"/>
          <w:b/>
          <w:spacing w:val="0"/>
          <w:sz w:val="22"/>
          <w:szCs w:val="24"/>
          <w:rtl/>
        </w:rPr>
        <w:t xml:space="preserve"> דו"ח שנתי 56א</w:t>
      </w:r>
      <w:r w:rsidRPr="00643EF4">
        <w:rPr>
          <w:rFonts w:ascii="Century" w:hAnsi="Century" w:hint="cs"/>
          <w:sz w:val="22"/>
          <w:rtl/>
        </w:rPr>
        <w:t>);</w:t>
      </w:r>
      <w:r w:rsidRPr="00643EF4">
        <w:rPr>
          <w:rFonts w:ascii="Century" w:hAnsi="Century" w:cs="Miriam" w:hint="cs"/>
          <w:b/>
          <w:spacing w:val="0"/>
          <w:sz w:val="22"/>
          <w:szCs w:val="24"/>
          <w:rtl/>
        </w:rPr>
        <w:t xml:space="preserve"> </w:t>
      </w:r>
      <w:r w:rsidRPr="00643EF4">
        <w:rPr>
          <w:rFonts w:ascii="Century" w:hAnsi="Century" w:hint="cs"/>
          <w:sz w:val="22"/>
          <w:rtl/>
        </w:rPr>
        <w:t xml:space="preserve">ראו עוד </w:t>
      </w:r>
      <w:r w:rsidRPr="00643EF4">
        <w:rPr>
          <w:rFonts w:ascii="Century" w:hAnsi="Century" w:cs="Miriam" w:hint="cs"/>
          <w:b/>
          <w:spacing w:val="0"/>
          <w:sz w:val="22"/>
          <w:szCs w:val="24"/>
          <w:rtl/>
        </w:rPr>
        <w:t>התפרקותה של פרדיגמת הכיבוש בשטחים</w:t>
      </w:r>
      <w:r w:rsidRPr="00643EF4">
        <w:rPr>
          <w:rFonts w:ascii="Century" w:hAnsi="Century" w:hint="cs"/>
          <w:sz w:val="22"/>
          <w:rtl/>
        </w:rPr>
        <w:t xml:space="preserve">, בעמ' 22). עוד יש לומר כי במקרים רבים בוצעה בנייה זו ללא תכנית תקפה וללא היתרים כדין, שכן הליכי תכנון לטובת התיישבות ישראלית באזור מתאפשרים אך ורק ביחס למקרקעין שהם רכוש ממשלתי או מקרקעין בבעלות פרטית ישראלית. התיישבות ישראלית באזור ללא היתרים כדין בוצעה לאורך השנים גם במקרקעין שהם רכוש ממשלתי </w:t>
      </w:r>
      <w:r w:rsidRPr="00643EF4">
        <w:rPr>
          <w:rFonts w:hint="cs"/>
          <w:rtl/>
        </w:rPr>
        <w:t xml:space="preserve">(לסקירה מקיפה ראו: </w:t>
      </w:r>
      <w:r w:rsidRPr="00643EF4">
        <w:rPr>
          <w:rFonts w:ascii="Century" w:hAnsi="Century" w:cs="Miriam" w:hint="cs"/>
          <w:b/>
          <w:spacing w:val="0"/>
          <w:sz w:val="22"/>
          <w:szCs w:val="24"/>
          <w:rtl/>
        </w:rPr>
        <w:t>דו"ח ששון;</w:t>
      </w:r>
      <w:r w:rsidRPr="00643EF4">
        <w:rPr>
          <w:rFonts w:hint="cs"/>
          <w:rtl/>
        </w:rPr>
        <w:t xml:space="preserve"> אריאל ארליך "'סותר הלכות קודמות, ויש בו חידוש וגם קושי': על הגנת הקניין של 'אנשים מוגנים' בעקבות ההחלטה בדנג"ץ 9367/17 זיאדה נ' מפקד כוחות הצבא" </w:t>
      </w:r>
      <w:r w:rsidRPr="00643EF4">
        <w:rPr>
          <w:rFonts w:ascii="Century" w:hAnsi="Century" w:cs="Miriam" w:hint="cs"/>
          <w:b/>
          <w:spacing w:val="0"/>
          <w:sz w:val="22"/>
          <w:szCs w:val="24"/>
          <w:rtl/>
        </w:rPr>
        <w:t xml:space="preserve">מבזקי הארות פסיקה </w:t>
      </w:r>
      <w:r w:rsidRPr="00643EF4">
        <w:rPr>
          <w:rFonts w:ascii="Century" w:hAnsi="Century" w:hint="cs"/>
          <w:sz w:val="22"/>
          <w:rtl/>
        </w:rPr>
        <w:t>84 4</w:t>
      </w:r>
      <w:r w:rsidRPr="00643EF4">
        <w:rPr>
          <w:rFonts w:hint="cs"/>
          <w:rtl/>
        </w:rPr>
        <w:t xml:space="preserve">, 17-16 (2018) (להלן: </w:t>
      </w:r>
      <w:r w:rsidRPr="00643EF4">
        <w:rPr>
          <w:rFonts w:ascii="Century" w:hAnsi="Century" w:cs="Miriam" w:hint="cs"/>
          <w:b/>
          <w:spacing w:val="0"/>
          <w:sz w:val="22"/>
          <w:szCs w:val="24"/>
          <w:rtl/>
        </w:rPr>
        <w:t>ארליך</w:t>
      </w:r>
      <w:r w:rsidRPr="00643EF4">
        <w:rPr>
          <w:rFonts w:ascii="Century" w:hAnsi="Century" w:hint="cs"/>
          <w:sz w:val="22"/>
          <w:rtl/>
        </w:rPr>
        <w:t>)</w:t>
      </w:r>
      <w:r w:rsidRPr="00643EF4">
        <w:rPr>
          <w:rFonts w:hint="cs"/>
          <w:rtl/>
        </w:rPr>
        <w:t xml:space="preserve">; </w:t>
      </w:r>
      <w:r w:rsidRPr="00643EF4">
        <w:t xml:space="preserve">Ronit Levine-Schnur, </w:t>
      </w:r>
      <w:r w:rsidRPr="00643EF4">
        <w:rPr>
          <w:i/>
          <w:iCs/>
        </w:rPr>
        <w:t>Private Property and Public Power in the Occupied West Bank</w:t>
      </w:r>
      <w:r w:rsidRPr="00643EF4">
        <w:t xml:space="preserve">, 6 </w:t>
      </w:r>
      <w:r w:rsidRPr="00643EF4">
        <w:rPr>
          <w:smallCaps/>
          <w:lang w:val="en"/>
        </w:rPr>
        <w:t xml:space="preserve">Eur. Prop. L.J. </w:t>
      </w:r>
      <w:r w:rsidRPr="00643EF4">
        <w:t>126-127 (2017)</w:t>
      </w:r>
      <w:r w:rsidRPr="00643EF4">
        <w:rPr>
          <w:rtl/>
        </w:rPr>
        <w:t xml:space="preserve"> </w:t>
      </w:r>
      <w:r w:rsidRPr="00643EF4">
        <w:rPr>
          <w:rFonts w:hint="cs"/>
          <w:rtl/>
        </w:rPr>
        <w:t xml:space="preserve">(להלן: </w:t>
      </w:r>
      <w:r w:rsidRPr="00643EF4">
        <w:rPr>
          <w:rFonts w:ascii="Century" w:hAnsi="Century" w:cs="Miriam"/>
          <w:bCs/>
          <w:spacing w:val="0"/>
          <w:sz w:val="22"/>
          <w:szCs w:val="24"/>
        </w:rPr>
        <w:t>Private Property and Public Power</w:t>
      </w:r>
      <w:r w:rsidRPr="00643EF4">
        <w:rPr>
          <w:rFonts w:hint="cs"/>
          <w:rtl/>
        </w:rPr>
        <w:t xml:space="preserve">)). </w:t>
      </w:r>
    </w:p>
    <w:p w14:paraId="40D38DDB" w14:textId="77777777" w:rsidR="000E5D20" w:rsidRPr="00643EF4" w:rsidRDefault="000E5D20" w:rsidP="000E5D20">
      <w:pPr>
        <w:pStyle w:val="Ruller4"/>
        <w:numPr>
          <w:ilvl w:val="0"/>
          <w:numId w:val="0"/>
        </w:numPr>
        <w:rPr>
          <w:rFonts w:ascii="Century" w:hAnsi="Century"/>
          <w:sz w:val="22"/>
        </w:rPr>
      </w:pPr>
    </w:p>
    <w:p w14:paraId="0EF5E4ED" w14:textId="09BC21B8" w:rsidR="000E5D20" w:rsidRPr="00643EF4" w:rsidRDefault="000E5D20" w:rsidP="00CB0F2C">
      <w:pPr>
        <w:pStyle w:val="Ruller4"/>
        <w:tabs>
          <w:tab w:val="num" w:pos="10307"/>
        </w:tabs>
        <w:rPr>
          <w:rFonts w:ascii="Century" w:hAnsi="Century"/>
          <w:sz w:val="22"/>
          <w:rtl/>
        </w:rPr>
      </w:pPr>
      <w:r w:rsidRPr="00643EF4">
        <w:rPr>
          <w:rFonts w:ascii="Century" w:hAnsi="Century" w:hint="cs"/>
          <w:sz w:val="22"/>
          <w:rtl/>
        </w:rPr>
        <w:lastRenderedPageBreak/>
        <w:t>מנתוני המינהל האזרחי עולה כי נכון לשנת 2016 היו באזור 3,455 מבני קבע ומבנים יבילים בלתי חוקיים של התיישבות ישראלית על מקרקעין בבעלות פלסטינית פרטית. 1,285 מתוכם משמשים כמבני מגורים או כמוסדות ציבור (לרבות בתי ספר, בתי כנסת וגני ילדים); 1,048 מבנים נבנו על מקרקעין אשר לימים נגרעו מן ההכרזות כתוצאה מעבודת צוות קו כחול; ו-1,122 מבנים הם בני למעלה מ-20 שנה, המצויים בעיקר ביישובים אלון מורה, חרמש, מעלה מכמש, עפרה, בית אל, פסגות, שבי שומרון ועלי, ונו</w:t>
      </w:r>
      <w:r w:rsidR="00CB0F2C" w:rsidRPr="00643EF4">
        <w:rPr>
          <w:rFonts w:ascii="Century" w:hAnsi="Century" w:hint="cs"/>
          <w:sz w:val="22"/>
          <w:rtl/>
        </w:rPr>
        <w:t>כח מדיניות הרשויות הישראליות עד 1998, כי</w:t>
      </w:r>
      <w:r w:rsidRPr="00643EF4">
        <w:rPr>
          <w:rFonts w:ascii="Century" w:hAnsi="Century" w:hint="cs"/>
          <w:sz w:val="22"/>
          <w:rtl/>
        </w:rPr>
        <w:t xml:space="preserve"> אין לבצע אכיפה נגד בנייה ישראלית בלתי חוקית באזור, לא ננקטו בעניינם הליכי אכיפה ופיקוח לאורך השנים ("בנייה ותיקה"). עוד עולה מנתוני המינהל האזרחי כי 1,576 מבנים מתוך 3,455 המבנים הנ"ל, הוקמו על </w:t>
      </w:r>
      <w:r w:rsidRPr="00643EF4">
        <w:rPr>
          <w:rFonts w:ascii="Century" w:hAnsi="Century" w:cs="Miriam" w:hint="cs"/>
          <w:b/>
          <w:spacing w:val="0"/>
          <w:sz w:val="22"/>
          <w:szCs w:val="24"/>
          <w:rtl/>
        </w:rPr>
        <w:t>מקרקעין מוסדרים</w:t>
      </w:r>
      <w:r w:rsidRPr="00643EF4">
        <w:rPr>
          <w:rFonts w:ascii="Century" w:hAnsi="Century" w:hint="cs"/>
          <w:sz w:val="22"/>
          <w:rtl/>
        </w:rPr>
        <w:t xml:space="preserve"> בבעלות פלסטינית פרטית, וכי מרבית הבנייה הבלתי חוקית התבצעה בין השנים 2006-2002 ומיעוטה בשנים 1996-1992. </w:t>
      </w:r>
    </w:p>
    <w:p w14:paraId="0A5C0DD3" w14:textId="77777777" w:rsidR="000E5D20" w:rsidRPr="00643EF4" w:rsidRDefault="000E5D20" w:rsidP="000E5D20">
      <w:pPr>
        <w:pStyle w:val="Ruller41"/>
        <w:rPr>
          <w:rtl/>
        </w:rPr>
      </w:pPr>
    </w:p>
    <w:p w14:paraId="088B1433" w14:textId="77777777" w:rsidR="000E5D20" w:rsidRPr="00643EF4" w:rsidRDefault="000E5D20" w:rsidP="000E5D20">
      <w:pPr>
        <w:pStyle w:val="Ruller4"/>
        <w:tabs>
          <w:tab w:val="num" w:pos="10307"/>
        </w:tabs>
        <w:rPr>
          <w:rFonts w:ascii="Century" w:hAnsi="Century"/>
          <w:sz w:val="22"/>
          <w:rtl/>
        </w:rPr>
      </w:pPr>
      <w:r w:rsidRPr="00643EF4">
        <w:rPr>
          <w:rFonts w:ascii="Century" w:hAnsi="Century" w:hint="cs"/>
          <w:sz w:val="22"/>
          <w:rtl/>
        </w:rPr>
        <w:t xml:space="preserve">על רקע פגמים קניינים ותכנוניים אלה החליט הדרג המדיני ביום 28.2.2011 על מדיניות משולבת שעיקרה הריסת הבנייה הבלתי חוקית על אדמות פרטיות והסדרת הבנייה הבלתי חוקית על אדמות מדינה. לפי מדיניות זו, בנייה ישראלית בלתי מורשית אשר הוקמה על קרקע פלסטינית פרטית תוסר, ובמקביל הונחו הדרגים המקצועיים המתאימים לפעול להסדרת המעמד התכנוני של מבנים בהתיישבות ישראלית על מקרקעין שהוכרזו כרכוש ממשלתי ונבנו שלא כדין באותן נקודות התיישבות אשר לגביהן יוחלט על הסדרה. </w:t>
      </w:r>
    </w:p>
    <w:p w14:paraId="5A929303" w14:textId="77777777" w:rsidR="000E5D20" w:rsidRPr="00643EF4" w:rsidRDefault="000E5D20" w:rsidP="000E5D20">
      <w:pPr>
        <w:pStyle w:val="Ruller41"/>
        <w:rPr>
          <w:rtl/>
        </w:rPr>
      </w:pPr>
    </w:p>
    <w:p w14:paraId="441EB38E" w14:textId="29C07317" w:rsidR="000E5D20" w:rsidRPr="00643EF4" w:rsidRDefault="00615A18" w:rsidP="000E5D20">
      <w:pPr>
        <w:pStyle w:val="Ruller4"/>
        <w:tabs>
          <w:tab w:val="num" w:pos="10307"/>
        </w:tabs>
        <w:rPr>
          <w:rtl/>
        </w:rPr>
      </w:pPr>
      <w:r w:rsidRPr="00643EF4">
        <w:rPr>
          <w:rFonts w:hint="cs"/>
          <w:rtl/>
        </w:rPr>
        <w:t xml:space="preserve">בשנת </w:t>
      </w:r>
      <w:r w:rsidR="00AE3CC7" w:rsidRPr="00643EF4">
        <w:rPr>
          <w:rFonts w:hint="cs"/>
          <w:rtl/>
        </w:rPr>
        <w:t>2015</w:t>
      </w:r>
      <w:r w:rsidRPr="00643EF4">
        <w:rPr>
          <w:rFonts w:hint="cs"/>
          <w:rtl/>
        </w:rPr>
        <w:t xml:space="preserve">, </w:t>
      </w:r>
      <w:r w:rsidR="000E5D20" w:rsidRPr="00643EF4">
        <w:rPr>
          <w:rFonts w:hint="cs"/>
          <w:rtl/>
        </w:rPr>
        <w:t xml:space="preserve">עם הקמת הממשלה ה-34 חל שינוי במדיניות האמורה והממשלה ביקשה לבחון את האפשרות להסדיר את הבנייה הישראלית הבלתי חוקית באזור גם ביחס למבנים שהוקמו על מקרקעין פרטיים פלסטיניים, במעורבות של הרשויות הישראליות. לשם כך, הקימה הממשלה "צוות הסדרה" שעבודתו נועדה, בין היתר, ליתן מענה לשתי התפתחויות עיקריות מהשנים האחרונות: </w:t>
      </w:r>
      <w:r w:rsidR="000E5D20" w:rsidRPr="00643EF4">
        <w:rPr>
          <w:rFonts w:ascii="Century" w:hAnsi="Century" w:cs="Miriam" w:hint="cs"/>
          <w:b/>
          <w:spacing w:val="0"/>
          <w:sz w:val="22"/>
          <w:szCs w:val="24"/>
          <w:rtl/>
        </w:rPr>
        <w:t>האחת</w:t>
      </w:r>
      <w:r w:rsidR="000E5D20" w:rsidRPr="00643EF4">
        <w:rPr>
          <w:rFonts w:hint="cs"/>
          <w:rtl/>
        </w:rPr>
        <w:t xml:space="preserve">, נוגעת לעבודת צוות קו כחול ולאי הדיוקים שהתגלו, כאמור, בהכרזות על מקרקעין כעל רכוש ממשלתי. </w:t>
      </w:r>
      <w:r w:rsidR="000E5D20" w:rsidRPr="00643EF4">
        <w:rPr>
          <w:rFonts w:ascii="Century" w:hAnsi="Century" w:cs="Miriam" w:hint="cs"/>
          <w:b/>
          <w:spacing w:val="0"/>
          <w:szCs w:val="24"/>
          <w:rtl/>
        </w:rPr>
        <w:t>השנייה</w:t>
      </w:r>
      <w:r w:rsidR="000E5D20" w:rsidRPr="00643EF4">
        <w:rPr>
          <w:rFonts w:ascii="Century" w:hAnsi="Century" w:hint="cs"/>
          <w:sz w:val="22"/>
          <w:rtl/>
        </w:rPr>
        <w:t>,</w:t>
      </w:r>
      <w:r w:rsidR="000E5D20" w:rsidRPr="00643EF4">
        <w:rPr>
          <w:rFonts w:hint="cs"/>
          <w:rtl/>
        </w:rPr>
        <w:t xml:space="preserve"> נוגעת להליכים משפטיים שהוגשו לבית משפט זה על ידי פלסטינים הטוענים לזכויות ולזיקה למקרקעין שבהם הוקמה בנייה ישראלית בלתי חוקית ואשר בהם ניתנו בשנים האחרונות פסקי דין המחייבים את המדינה לממש צווי הריסה ביחס לאותה הבנייה. </w:t>
      </w:r>
    </w:p>
    <w:p w14:paraId="68DB23C7" w14:textId="77777777" w:rsidR="000E5D20" w:rsidRPr="00643EF4" w:rsidRDefault="000E5D20" w:rsidP="000E5D20">
      <w:pPr>
        <w:pStyle w:val="Ruller41"/>
        <w:rPr>
          <w:rtl/>
        </w:rPr>
      </w:pPr>
    </w:p>
    <w:p w14:paraId="39F8774A" w14:textId="75413CE9" w:rsidR="000E5D20" w:rsidRPr="00643EF4" w:rsidRDefault="000E5D20" w:rsidP="00615A18">
      <w:pPr>
        <w:pStyle w:val="Ruller4"/>
        <w:numPr>
          <w:ilvl w:val="0"/>
          <w:numId w:val="0"/>
        </w:numPr>
        <w:rPr>
          <w:rtl/>
        </w:rPr>
      </w:pPr>
      <w:r w:rsidRPr="00643EF4">
        <w:rPr>
          <w:rtl/>
        </w:rPr>
        <w:tab/>
      </w:r>
      <w:r w:rsidRPr="00643EF4">
        <w:rPr>
          <w:rFonts w:hint="cs"/>
          <w:rtl/>
        </w:rPr>
        <w:t xml:space="preserve">זהו רקע הדברים </w:t>
      </w:r>
      <w:r w:rsidR="00615A18" w:rsidRPr="00643EF4">
        <w:rPr>
          <w:rFonts w:hint="cs"/>
          <w:rtl/>
        </w:rPr>
        <w:t>ש</w:t>
      </w:r>
      <w:r w:rsidRPr="00643EF4">
        <w:rPr>
          <w:rFonts w:hint="cs"/>
          <w:rtl/>
        </w:rPr>
        <w:t xml:space="preserve">ביסוד חקיקת חוק ההסדרה נושא העתירות שבפנינו. </w:t>
      </w:r>
    </w:p>
    <w:p w14:paraId="0C051E3D" w14:textId="77777777" w:rsidR="000E5D20" w:rsidRPr="00643EF4" w:rsidRDefault="000E5D20" w:rsidP="000E5D20">
      <w:pPr>
        <w:pStyle w:val="Ruller41"/>
        <w:rPr>
          <w:rFonts w:ascii="Century" w:hAnsi="Century" w:cs="Miriam"/>
          <w:b/>
          <w:spacing w:val="0"/>
          <w:szCs w:val="24"/>
          <w:rtl/>
        </w:rPr>
      </w:pPr>
    </w:p>
    <w:p w14:paraId="3B65C128"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חוק ההסדרה והליכי חקיקתו </w:t>
      </w:r>
    </w:p>
    <w:p w14:paraId="49B001CF" w14:textId="77777777" w:rsidR="000E5D20" w:rsidRPr="00643EF4" w:rsidRDefault="000E5D20" w:rsidP="000E5D20">
      <w:pPr>
        <w:pStyle w:val="Ruller4"/>
        <w:numPr>
          <w:ilvl w:val="0"/>
          <w:numId w:val="0"/>
        </w:numPr>
        <w:rPr>
          <w:vertAlign w:val="subscript"/>
          <w:rtl/>
        </w:rPr>
      </w:pPr>
    </w:p>
    <w:p w14:paraId="004239B8" w14:textId="77777777" w:rsidR="000E5D20" w:rsidRPr="00643EF4" w:rsidRDefault="000E5D20" w:rsidP="000E5D20">
      <w:pPr>
        <w:pStyle w:val="Ruller4"/>
        <w:tabs>
          <w:tab w:val="num" w:pos="10307"/>
        </w:tabs>
        <w:rPr>
          <w:rtl/>
        </w:rPr>
      </w:pPr>
      <w:r w:rsidRPr="00643EF4">
        <w:rPr>
          <w:rFonts w:hint="cs"/>
          <w:rtl/>
        </w:rPr>
        <w:t xml:space="preserve">ראשיתו של חוק ההסדרה בשלוש הצעות חוק פרטיות, שאושרו במליאת הכנסת בקריאה טרומית בחודש נובמבר 2016 והועברו לדיון בוועדה המשותפת לוועדת החוקה, </w:t>
      </w:r>
      <w:r w:rsidRPr="00643EF4">
        <w:rPr>
          <w:rFonts w:hint="cs"/>
          <w:rtl/>
        </w:rPr>
        <w:lastRenderedPageBreak/>
        <w:t xml:space="preserve">חוק ומשפט ולוועדת החוץ והביטחון של הכנסת שהוקמה לטובת הדיון בחוק (להלן: </w:t>
      </w:r>
      <w:r w:rsidRPr="00643EF4">
        <w:rPr>
          <w:rFonts w:ascii="Century" w:hAnsi="Century" w:cs="Miriam" w:hint="cs"/>
          <w:b/>
          <w:spacing w:val="0"/>
          <w:sz w:val="22"/>
          <w:szCs w:val="24"/>
          <w:rtl/>
        </w:rPr>
        <w:t>הוועדה המשותפת</w:t>
      </w:r>
      <w:r w:rsidRPr="00643EF4">
        <w:rPr>
          <w:rFonts w:hint="cs"/>
          <w:rtl/>
        </w:rPr>
        <w:t xml:space="preserve">). הליכי החקיקה הופסקו עקב מחלוקות שונות ותחת זאת הונחה על שולחן הכנסת ביום 5.12.2016 הצעת חוק פרטית חדשה (הצעת חוק להסדרת ההתיישבות ביהודה והשומרון, התשע"ו-2016; להלן: </w:t>
      </w:r>
      <w:r w:rsidRPr="00643EF4">
        <w:rPr>
          <w:rFonts w:ascii="Century" w:hAnsi="Century" w:cs="Miriam" w:hint="cs"/>
          <w:b/>
          <w:spacing w:val="0"/>
          <w:sz w:val="22"/>
          <w:szCs w:val="24"/>
          <w:rtl/>
        </w:rPr>
        <w:t>הצעת החוק</w:t>
      </w:r>
      <w:r w:rsidRPr="00643EF4">
        <w:rPr>
          <w:rFonts w:hint="cs"/>
          <w:rtl/>
        </w:rPr>
        <w:t xml:space="preserve">). הצעת החוק אושרה בקריאה ראשונה ביום 7.12.2016 והועברה לדיון בוועדה המשותפת. זאת, חרף עמדת היועץ המשפטי לממשלה לפיה גלומה בה אי-חוקיות חמורה העולה כדי מניעות משפטית ועל כן, אין מקום לקדמה. </w:t>
      </w:r>
    </w:p>
    <w:p w14:paraId="07AD0151" w14:textId="77777777" w:rsidR="000E5D20" w:rsidRPr="00643EF4" w:rsidRDefault="000E5D20" w:rsidP="000E5D20">
      <w:pPr>
        <w:pStyle w:val="Ruller41"/>
      </w:pPr>
    </w:p>
    <w:p w14:paraId="1318401F" w14:textId="77777777" w:rsidR="000E5D20" w:rsidRPr="00643EF4" w:rsidRDefault="000E5D20" w:rsidP="000E5D20">
      <w:pPr>
        <w:pStyle w:val="Ruller4"/>
        <w:tabs>
          <w:tab w:val="num" w:pos="10307"/>
        </w:tabs>
        <w:rPr>
          <w:rtl/>
        </w:rPr>
      </w:pPr>
      <w:r w:rsidRPr="00643EF4">
        <w:rPr>
          <w:rFonts w:hint="cs"/>
          <w:rtl/>
        </w:rPr>
        <w:t>הוועדה המשותפת קיימה דיונים רבים בהצעת החוק בהשתתפות נציגי היועץ המשפטי לממשלה ומשרדי ממשלה שונים, מתיישבים מיהודה ושומרון, נציגי ארגוני חברה אזרחית תומכים ומתנגדים, משפטנים ואנשי חינוך, מומחים ומלומדים. בנוסף, הועברו לוועדה המשותפת ניירות עמדה והתייחסויות כתובות מטעם גורמים שונים. הוועדה המשותפת אף קיימה ישיבה חסויה שעסקה בהשלכות המדיניות והבינלאומיות של ההסדר הקבוע בהצעת החוק (בבג"ץ 2055/17 ביקשו העותרים את גילוי הפרוטוקול המלא של הישיבה החסויה, אך בקשה זו נדחתה על ידינו). במהלך הדיונים שקיימה הוועדה המשותפת, שונה נוסח הצעת החוק והוכנסו בה תיקונים. בתום הדיונים אישרה הוועדה המשותפת את הצעת החוק לקריאה שנייה ושלישית, וביום 6.2.2017 אושרה הצעת החוק במליאת הכנסת והחוק פורסם ברשומות ביום 13.2.2017 (ס"ח תשע"ז מס' 2604, עמ' 410).</w:t>
      </w:r>
    </w:p>
    <w:p w14:paraId="24608FE3" w14:textId="77777777" w:rsidR="000E5D20" w:rsidRPr="00643EF4" w:rsidRDefault="000E5D20" w:rsidP="000E5D20">
      <w:pPr>
        <w:pStyle w:val="Ruller41"/>
        <w:rPr>
          <w:rFonts w:ascii="Century" w:hAnsi="Century" w:cs="Miriam"/>
          <w:b/>
          <w:spacing w:val="0"/>
          <w:szCs w:val="24"/>
          <w:rtl/>
        </w:rPr>
      </w:pPr>
    </w:p>
    <w:p w14:paraId="277CCF9F" w14:textId="0C2D8637" w:rsidR="000E5D20" w:rsidRPr="00643EF4" w:rsidRDefault="000E5D20" w:rsidP="00B857C4">
      <w:pPr>
        <w:pStyle w:val="Ruller4"/>
        <w:tabs>
          <w:tab w:val="num" w:pos="10307"/>
        </w:tabs>
        <w:rPr>
          <w:rtl/>
        </w:rPr>
      </w:pPr>
      <w:r w:rsidRPr="00643EF4">
        <w:rPr>
          <w:rFonts w:hint="cs"/>
          <w:rtl/>
        </w:rPr>
        <w:t>בתמצית, וכפי שיפורט בהרחבה בהמשך, סעיף 1 לחוק קובע את מטרתו, והיא</w:t>
      </w:r>
      <w:r w:rsidR="00EB3A72" w:rsidRPr="00643EF4">
        <w:rPr>
          <w:rFonts w:hint="cs"/>
          <w:rtl/>
        </w:rPr>
        <w:t xml:space="preserve"> - </w:t>
      </w:r>
      <w:r w:rsidRPr="00643EF4">
        <w:rPr>
          <w:rFonts w:hint="cs"/>
          <w:rtl/>
        </w:rPr>
        <w:t>"להסדיר את ההתיישבות ביהודה והשומרון ולאפשר את המשך ביסוסה ופיתוחה"</w:t>
      </w:r>
      <w:r w:rsidRPr="00643EF4">
        <w:rPr>
          <w:rFonts w:ascii="Century" w:hAnsi="Century" w:hint="cs"/>
          <w:sz w:val="22"/>
          <w:rtl/>
        </w:rPr>
        <w:t>.</w:t>
      </w:r>
      <w:r w:rsidRPr="00643EF4">
        <w:rPr>
          <w:rFonts w:hint="cs"/>
          <w:rtl/>
        </w:rPr>
        <w:t xml:space="preserve"> סעיף 3 לחוק קובע מנגנון להסדרת </w:t>
      </w:r>
      <w:r w:rsidRPr="00643EF4">
        <w:rPr>
          <w:rFonts w:ascii="Century" w:hAnsi="Century" w:cs="Miriam" w:hint="cs"/>
          <w:b/>
          <w:spacing w:val="0"/>
          <w:sz w:val="22"/>
          <w:szCs w:val="24"/>
          <w:rtl/>
        </w:rPr>
        <w:t>התיישבות</w:t>
      </w:r>
      <w:r w:rsidRPr="00643EF4">
        <w:rPr>
          <w:rFonts w:hint="cs"/>
          <w:rtl/>
        </w:rPr>
        <w:t xml:space="preserve"> </w:t>
      </w:r>
      <w:r w:rsidRPr="00643EF4">
        <w:rPr>
          <w:rFonts w:ascii="Century" w:hAnsi="Century" w:cs="Miriam" w:hint="cs"/>
          <w:b/>
          <w:spacing w:val="0"/>
          <w:sz w:val="22"/>
          <w:szCs w:val="24"/>
          <w:rtl/>
        </w:rPr>
        <w:t>במקרקעין הטעונים הסדרה</w:t>
      </w:r>
      <w:r w:rsidRPr="00643EF4">
        <w:rPr>
          <w:rFonts w:ascii="Century" w:hAnsi="Century" w:hint="cs"/>
          <w:sz w:val="22"/>
          <w:rtl/>
        </w:rPr>
        <w:t>,</w:t>
      </w:r>
      <w:r w:rsidRPr="00643EF4">
        <w:rPr>
          <w:rFonts w:ascii="Century" w:hAnsi="Century" w:cs="Miriam" w:hint="cs"/>
          <w:b/>
          <w:spacing w:val="0"/>
          <w:sz w:val="22"/>
          <w:szCs w:val="24"/>
          <w:rtl/>
        </w:rPr>
        <w:t xml:space="preserve"> </w:t>
      </w:r>
      <w:r w:rsidRPr="00643EF4">
        <w:rPr>
          <w:rFonts w:ascii="Century" w:hAnsi="Century" w:hint="cs"/>
          <w:sz w:val="22"/>
          <w:rtl/>
        </w:rPr>
        <w:t>שהבנייה</w:t>
      </w:r>
      <w:r w:rsidRPr="00643EF4">
        <w:rPr>
          <w:rFonts w:hint="cs"/>
          <w:rtl/>
        </w:rPr>
        <w:t xml:space="preserve"> בהם נעשתה על ידי מי שאינו </w:t>
      </w:r>
      <w:r w:rsidRPr="00643EF4">
        <w:rPr>
          <w:rFonts w:ascii="Century" w:hAnsi="Century" w:cs="Miriam" w:hint="cs"/>
          <w:b/>
          <w:spacing w:val="0"/>
          <w:sz w:val="22"/>
          <w:szCs w:val="24"/>
          <w:rtl/>
        </w:rPr>
        <w:t>בעל הזכות במקרקעין</w:t>
      </w:r>
      <w:r w:rsidRPr="00643EF4">
        <w:rPr>
          <w:rFonts w:hint="cs"/>
          <w:rtl/>
        </w:rPr>
        <w:t xml:space="preserve">, אך </w:t>
      </w:r>
      <w:r w:rsidRPr="00643EF4">
        <w:rPr>
          <w:rFonts w:ascii="Century" w:hAnsi="Century" w:cs="Miriam" w:hint="cs"/>
          <w:b/>
          <w:spacing w:val="0"/>
          <w:sz w:val="22"/>
          <w:szCs w:val="24"/>
          <w:rtl/>
        </w:rPr>
        <w:t>בתום לב</w:t>
      </w:r>
      <w:r w:rsidRPr="00643EF4">
        <w:rPr>
          <w:rFonts w:hint="cs"/>
          <w:rtl/>
        </w:rPr>
        <w:t xml:space="preserve"> או ב</w:t>
      </w:r>
      <w:r w:rsidRPr="00643EF4">
        <w:rPr>
          <w:rFonts w:ascii="Century" w:hAnsi="Century" w:cs="Miriam" w:hint="cs"/>
          <w:b/>
          <w:spacing w:val="0"/>
          <w:sz w:val="22"/>
          <w:szCs w:val="24"/>
          <w:rtl/>
        </w:rPr>
        <w:t>הסכמת המדינה</w:t>
      </w:r>
      <w:r w:rsidRPr="00643EF4">
        <w:rPr>
          <w:rFonts w:hint="cs"/>
          <w:rtl/>
        </w:rPr>
        <w:t xml:space="preserve">. </w:t>
      </w:r>
      <w:r w:rsidR="00EB3A72" w:rsidRPr="00643EF4">
        <w:rPr>
          <w:rFonts w:hint="cs"/>
          <w:rtl/>
        </w:rPr>
        <w:t xml:space="preserve">לצורך כך </w:t>
      </w:r>
      <w:r w:rsidRPr="00643EF4">
        <w:rPr>
          <w:rFonts w:hint="cs"/>
          <w:rtl/>
        </w:rPr>
        <w:t xml:space="preserve">מבחין </w:t>
      </w:r>
      <w:r w:rsidR="00EB3A72" w:rsidRPr="00643EF4">
        <w:rPr>
          <w:rFonts w:hint="cs"/>
          <w:rtl/>
        </w:rPr>
        <w:t xml:space="preserve">החוק </w:t>
      </w:r>
      <w:r w:rsidRPr="00643EF4">
        <w:rPr>
          <w:rFonts w:hint="cs"/>
          <w:rtl/>
        </w:rPr>
        <w:t xml:space="preserve">בין שני מקרים של בנייה במקרקעין "הטעונים הסדרה": </w:t>
      </w:r>
      <w:r w:rsidRPr="00643EF4">
        <w:rPr>
          <w:rFonts w:ascii="Century" w:hAnsi="Century" w:cs="Miriam" w:hint="cs"/>
          <w:b/>
          <w:spacing w:val="0"/>
          <w:sz w:val="22"/>
          <w:szCs w:val="24"/>
          <w:rtl/>
        </w:rPr>
        <w:t>האחד</w:t>
      </w:r>
      <w:r w:rsidRPr="00643EF4">
        <w:rPr>
          <w:rFonts w:hint="cs"/>
          <w:rtl/>
        </w:rPr>
        <w:t>, בנייה במקרקעין שאין בהם בעל זכויות, ו</w:t>
      </w:r>
      <w:r w:rsidRPr="00643EF4">
        <w:rPr>
          <w:rFonts w:ascii="Century" w:hAnsi="Century" w:cs="Miriam" w:hint="cs"/>
          <w:b/>
          <w:spacing w:val="0"/>
          <w:sz w:val="22"/>
          <w:szCs w:val="24"/>
          <w:rtl/>
        </w:rPr>
        <w:t>השני</w:t>
      </w:r>
      <w:r w:rsidRPr="00643EF4">
        <w:rPr>
          <w:rFonts w:hint="cs"/>
          <w:rtl/>
        </w:rPr>
        <w:t xml:space="preserve"> בנייה במקרקעין שיש בהם בעל זכויות. ביחס לכל אחד מן המקרים קובע החוק </w:t>
      </w:r>
      <w:r w:rsidR="00B857C4" w:rsidRPr="00643EF4">
        <w:rPr>
          <w:rFonts w:hint="cs"/>
          <w:rtl/>
        </w:rPr>
        <w:t>מנגנון</w:t>
      </w:r>
      <w:r w:rsidRPr="00643EF4">
        <w:rPr>
          <w:rFonts w:hint="cs"/>
          <w:rtl/>
        </w:rPr>
        <w:t xml:space="preserve"> שונה באשר לאופן הסדרתם והקצאת זכויות השימוש והחזקה בהם לצורכי ההתיישבות שנבנתה עליהם. עוד </w:t>
      </w:r>
      <w:r w:rsidR="00B857C4" w:rsidRPr="00643EF4">
        <w:rPr>
          <w:rFonts w:hint="cs"/>
          <w:rtl/>
        </w:rPr>
        <w:t>קובע החוק</w:t>
      </w:r>
      <w:r w:rsidRPr="00643EF4">
        <w:rPr>
          <w:rFonts w:hint="cs"/>
          <w:rtl/>
        </w:rPr>
        <w:t xml:space="preserve"> כי עד להשלמת הליכי התכנון יותלו הליכי אכיפה וצווים שניתנו בקשר למבנים ביישובים שעליהם חל החוק, והם יפקעו עם השלמת הליכי התכנון. זאת, למעט אם ניתנו החלטה שיפוטית או פסק דין בדבר מימוש הצווים. בהקשר זה קובע החוק רשימה של 16 יישובים המנויים בתוספת (להלן: </w:t>
      </w:r>
      <w:r w:rsidRPr="00643EF4">
        <w:rPr>
          <w:rFonts w:ascii="Century" w:hAnsi="Century" w:cs="Miriam" w:hint="cs"/>
          <w:b/>
          <w:spacing w:val="0"/>
          <w:sz w:val="22"/>
          <w:szCs w:val="24"/>
          <w:rtl/>
        </w:rPr>
        <w:t>התוספת</w:t>
      </w:r>
      <w:r w:rsidRPr="00643EF4">
        <w:rPr>
          <w:rFonts w:hint="cs"/>
          <w:rtl/>
        </w:rPr>
        <w:t xml:space="preserve">) שבהם יותלו הליכי האכיפה והצווים לתקופה של 12 חודשים מיום פרסום החוק, ובמהלכה תיבדק עמידתם בתנאים המאפשרים את הסדרת המבנים המצויים בהם. </w:t>
      </w:r>
    </w:p>
    <w:p w14:paraId="7A35C1EA" w14:textId="77777777" w:rsidR="000E5D20" w:rsidRPr="00643EF4" w:rsidRDefault="000E5D20" w:rsidP="000E5D20">
      <w:pPr>
        <w:pStyle w:val="Ruller41"/>
        <w:rPr>
          <w:rtl/>
        </w:rPr>
      </w:pPr>
    </w:p>
    <w:p w14:paraId="7B5D2A93" w14:textId="77777777" w:rsidR="000E5D20" w:rsidRPr="00643EF4" w:rsidRDefault="000E5D20" w:rsidP="000E5D20">
      <w:pPr>
        <w:pStyle w:val="Ruller41"/>
        <w:rPr>
          <w:rtl/>
        </w:rPr>
      </w:pPr>
      <w:r w:rsidRPr="00643EF4">
        <w:rPr>
          <w:rtl/>
        </w:rPr>
        <w:tab/>
      </w:r>
      <w:r w:rsidRPr="00643EF4">
        <w:rPr>
          <w:rFonts w:hint="cs"/>
          <w:rtl/>
        </w:rPr>
        <w:t xml:space="preserve">על רקע זה הוגשו שתי העתירות דנן. </w:t>
      </w:r>
    </w:p>
    <w:p w14:paraId="403735AD" w14:textId="77777777" w:rsidR="000E5D20" w:rsidRPr="00643EF4" w:rsidRDefault="000E5D20" w:rsidP="000E5D20">
      <w:pPr>
        <w:pStyle w:val="Ruller41"/>
        <w:rPr>
          <w:rFonts w:ascii="Century" w:hAnsi="Century" w:cs="Miriam"/>
          <w:b/>
          <w:spacing w:val="0"/>
          <w:szCs w:val="24"/>
          <w:rtl/>
        </w:rPr>
      </w:pPr>
    </w:p>
    <w:p w14:paraId="6B578785" w14:textId="77777777" w:rsidR="00E26A22" w:rsidRPr="00643EF4" w:rsidRDefault="00E26A22">
      <w:pPr>
        <w:overflowPunct/>
        <w:autoSpaceDE/>
        <w:autoSpaceDN/>
        <w:bidi w:val="0"/>
        <w:adjustRightInd/>
        <w:textAlignment w:val="auto"/>
        <w:rPr>
          <w:rFonts w:ascii="Century" w:hAnsi="Century" w:cs="Miriam"/>
          <w:b/>
          <w:sz w:val="22"/>
          <w:rtl/>
        </w:rPr>
      </w:pPr>
      <w:r w:rsidRPr="00643EF4">
        <w:rPr>
          <w:rFonts w:ascii="Century" w:hAnsi="Century" w:cs="Miriam"/>
          <w:b/>
          <w:rtl/>
        </w:rPr>
        <w:br w:type="page"/>
      </w:r>
    </w:p>
    <w:p w14:paraId="2112F375" w14:textId="3E840F9B"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lastRenderedPageBreak/>
        <w:t xml:space="preserve">העתירות נגד חוק ההסדרה </w:t>
      </w:r>
    </w:p>
    <w:p w14:paraId="6F129F86" w14:textId="77777777" w:rsidR="000E5D20" w:rsidRPr="00643EF4" w:rsidRDefault="000E5D20" w:rsidP="000E5D20">
      <w:pPr>
        <w:pStyle w:val="Ruller41"/>
        <w:rPr>
          <w:sz w:val="16"/>
          <w:szCs w:val="22"/>
          <w:rtl/>
        </w:rPr>
      </w:pPr>
    </w:p>
    <w:p w14:paraId="387ED795"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טענות העותרים</w:t>
      </w:r>
    </w:p>
    <w:p w14:paraId="75214B5D" w14:textId="77777777" w:rsidR="000E5D20" w:rsidRPr="00643EF4" w:rsidRDefault="000E5D20" w:rsidP="000E5D20">
      <w:pPr>
        <w:pStyle w:val="Ruller4"/>
        <w:numPr>
          <w:ilvl w:val="0"/>
          <w:numId w:val="0"/>
        </w:numPr>
        <w:rPr>
          <w:sz w:val="18"/>
          <w:szCs w:val="22"/>
        </w:rPr>
      </w:pPr>
    </w:p>
    <w:p w14:paraId="19551FA1" w14:textId="77777777" w:rsidR="000E5D20" w:rsidRPr="00643EF4" w:rsidRDefault="000E5D20" w:rsidP="000E5D20">
      <w:pPr>
        <w:pStyle w:val="Ruller4"/>
        <w:tabs>
          <w:tab w:val="num" w:pos="10307"/>
        </w:tabs>
        <w:rPr>
          <w:rtl/>
        </w:rPr>
      </w:pPr>
      <w:r w:rsidRPr="00643EF4">
        <w:rPr>
          <w:rFonts w:hint="cs"/>
          <w:rtl/>
        </w:rPr>
        <w:t xml:space="preserve">העותרים בשתי העתירות טוענים כי יישום החוק יביא להפקעת אלפי דונמים של אדמות פרטיות בבעלות פלסטינית המשמשות כשטחים בנויים של התיישבות ישראלית באזור וכן להפקעת אלפי דונמים של אדמות בבעלות פלסטינית פרטית המשמשות לחקלאות. תוצאה זו, לטענת העותרים, עומדת בניגוד מוחלט למשפט הבינלאומי והיא אף אינה חוקתית לפי המשפט הישראלי. עוד נטען כי הכנסת פעלה בחוסר סמכות כשחוקקה את חוק ההסדרה כחוק החל בתחולה ישירה על האזור, וזאת בניגוד לדין הבינלאומי האוסר על מדינה להחיל את חוקיה על שטח בתפיסה לוחמתית. הוטעם כי בעל הסמכות לחוקק בשטחי האזור הוא המפקד הצבאי ועליו לעשות כן בתחיקה ביטחונית, הכפופה למגבלות הקבועות בדיני התפיסה הלוחמתית. כמו כן, נטען כי החוק אינו חוקתי משום שהוא פוגע בזכויות של תושבי האזור הפלסטינים לקניין, לפרנסה, לכבוד ולשוויון, וזאת בניגוד לתנאי פסקת ההגבלה שבחוק-יסוד: כבוד האדם וחירותו (להלן: </w:t>
      </w:r>
      <w:r w:rsidRPr="00643EF4">
        <w:rPr>
          <w:rFonts w:ascii="Century" w:hAnsi="Century" w:cs="Miriam" w:hint="cs"/>
          <w:b/>
          <w:spacing w:val="0"/>
          <w:sz w:val="22"/>
          <w:szCs w:val="24"/>
          <w:rtl/>
        </w:rPr>
        <w:t>חוק היסוד</w:t>
      </w:r>
      <w:r w:rsidRPr="00643EF4">
        <w:rPr>
          <w:rFonts w:hint="cs"/>
          <w:rtl/>
        </w:rPr>
        <w:t xml:space="preserve">). העותרים מוסיפים וטוענים כי החוק נוגד את דיני התפיסה הלוחמתית החלים באזור ובפרט את הדינים הנוגעים לאיסור על הפקעת רכוש פרטי ולטענתם יישום הוראות החוק עלול להוות הפרה של איסורים הקבועים בדין הבינלאומי הפלילי. </w:t>
      </w:r>
    </w:p>
    <w:p w14:paraId="71AB2C3E" w14:textId="77777777" w:rsidR="000E5D20" w:rsidRPr="00643EF4" w:rsidRDefault="000E5D20" w:rsidP="000E5D20">
      <w:pPr>
        <w:pStyle w:val="Ruller41"/>
        <w:rPr>
          <w:rtl/>
        </w:rPr>
      </w:pPr>
    </w:p>
    <w:p w14:paraId="4ECD2EAC" w14:textId="77777777" w:rsidR="000E5D20" w:rsidRPr="00643EF4" w:rsidRDefault="000E5D20" w:rsidP="000E5D20">
      <w:pPr>
        <w:pStyle w:val="Ruller41"/>
        <w:rPr>
          <w:rtl/>
        </w:rPr>
      </w:pPr>
      <w:r w:rsidRPr="00643EF4">
        <w:rPr>
          <w:rtl/>
        </w:rPr>
        <w:tab/>
      </w:r>
      <w:r w:rsidRPr="00643EF4">
        <w:rPr>
          <w:rFonts w:hint="cs"/>
          <w:rtl/>
        </w:rPr>
        <w:t xml:space="preserve">על יסוד כל האמור, מבקשים העותרים כי בית משפט זה יורה על בטלותו של חוק ההסדרה. </w:t>
      </w:r>
    </w:p>
    <w:p w14:paraId="308468E8" w14:textId="77777777" w:rsidR="000E5D20" w:rsidRPr="00643EF4" w:rsidRDefault="000E5D20" w:rsidP="000E5D20">
      <w:pPr>
        <w:pStyle w:val="Ruller41"/>
        <w:rPr>
          <w:rFonts w:ascii="Century" w:hAnsi="Century" w:cs="Miriam"/>
          <w:b/>
          <w:spacing w:val="0"/>
          <w:szCs w:val="24"/>
          <w:rtl/>
        </w:rPr>
      </w:pPr>
    </w:p>
    <w:p w14:paraId="62B95FC0"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היועץ המשפטי לממשלה</w:t>
      </w:r>
    </w:p>
    <w:p w14:paraId="7C9B2FEC" w14:textId="77777777" w:rsidR="000E5D20" w:rsidRPr="00643EF4" w:rsidRDefault="000E5D20" w:rsidP="000E5D20">
      <w:pPr>
        <w:pStyle w:val="Ruller41"/>
        <w:rPr>
          <w:rFonts w:ascii="Century" w:hAnsi="Century" w:cs="Miriam"/>
          <w:b/>
          <w:spacing w:val="0"/>
          <w:szCs w:val="24"/>
          <w:rtl/>
        </w:rPr>
      </w:pPr>
    </w:p>
    <w:p w14:paraId="688A7581" w14:textId="77777777" w:rsidR="000E5D20" w:rsidRPr="00643EF4" w:rsidRDefault="000E5D20" w:rsidP="000E5D20">
      <w:pPr>
        <w:pStyle w:val="Ruller4"/>
        <w:tabs>
          <w:tab w:val="num" w:pos="10307"/>
        </w:tabs>
        <w:rPr>
          <w:rtl/>
        </w:rPr>
      </w:pPr>
      <w:r w:rsidRPr="00643EF4">
        <w:rPr>
          <w:rFonts w:hint="cs"/>
          <w:rtl/>
        </w:rPr>
        <w:t xml:space="preserve">טרם הדיון בעתירות, הודיע היועץ המשפטי לממשלה לבית המשפט כי בנסיבות החריגות של המקרה הוא מצא לנכון לקבל את בקשת הדרג המדיני לאפשר לממשלה להיות מיוצגת בהליך על ידי עורך דין פרטי. זאת נוכח עמדתו לפיה </w:t>
      </w:r>
      <w:r w:rsidRPr="00643EF4">
        <w:rPr>
          <w:rFonts w:ascii="Century" w:hAnsi="Century" w:hint="cs"/>
          <w:sz w:val="22"/>
          <w:rtl/>
        </w:rPr>
        <w:t>חוק ההסדרה אינו חוקתי ודינו בטלות.</w:t>
      </w:r>
      <w:r w:rsidRPr="00643EF4">
        <w:rPr>
          <w:rFonts w:hint="cs"/>
          <w:rtl/>
        </w:rPr>
        <w:t xml:space="preserve"> היועץ מיקד את עמדתו בעיקר בשאלת חוקתיות ההסדר הקבוע בחוק, אך הוא הוסיף וציין כי שאלת סמכותה של הכנסת לחוקק בשטחי האזור אינה נקיה מספקות וכי ישנם טעמים כבדי משקל נגד החלה ישירה של חקיקה ראשית בשטח המוחזק בתפיסה לוחמתית, בפרט ככל שהדבר נוגע לשליטה הישראלית באזור. בהקשר זה הוטעם על ידו כי החלה ישירה של נורמה חקיקתית בשטחי האזור סותרת את הפרקטיקה הנקוטה על ידי ממשלות ישראל מזה כ-50 שנים ואת מנשר מס' 2. עם זאת, היועץ העדיף שלא להכריע בשאלה זו, נוכח עמדתו כי הוראות החוק ממילא אינן עומדות בתנאי פסקת ההגבלה שבחוק היסוד. לגישתו של היועץ, חוק ההסדרה פוגע פגיעה בלתי מידתית בזכות לקניין של בעלי הזכויות הפלסטינים, שהם "תושבים מוגנים", כהגדרת מונח זה בדין הבינלאומי, וזכות הקניין שלהם נהנית מהגנה רחבה. היועץ המשפטי </w:t>
      </w:r>
      <w:r w:rsidRPr="00643EF4">
        <w:rPr>
          <w:rFonts w:hint="cs"/>
          <w:rtl/>
        </w:rPr>
        <w:lastRenderedPageBreak/>
        <w:t xml:space="preserve">לממשלה מוסיף ומציין כי חוק ההסדרה אף פוגע בזכות לכבוד ולשוויון של התושבים הפלסטינים </w:t>
      </w:r>
      <w:r w:rsidRPr="00643EF4">
        <w:rPr>
          <w:rtl/>
        </w:rPr>
        <w:t>–</w:t>
      </w:r>
      <w:r w:rsidRPr="00643EF4">
        <w:rPr>
          <w:rFonts w:hint="cs"/>
          <w:rtl/>
        </w:rPr>
        <w:t xml:space="preserve"> שהן זכויות המוגנות בחוק היסוד והמעוגנות בדין הבינלאומי המנהגי. זאת, משום שהמנגנון הקבוע בחוק טומן בחובו במישור התוצאה יחס מפלה ובלתי שוויוני כלפי פלסטינים תושבי האזור וכפועל היוצא מכך, הוא פוגע בכבודם שכן ההסדרים הקבועים בו נותנים הלכה למעשה עדיפות מכרעת לתושבי ישראל באזור. היועץ מדגיש כי הגם שמתן מענה למתיישבים ישראלים שבתיהם עומדים בפני סכנת הריסה ופינוי הוא אינטרס לגיטימי, הפגיעה במקרקעין פרטיים פלסטינים לשם הכשרת בנייה שבוצעה במקרים רבים תוך ידיעה או עצימת עיניים לכך שמדובר במקרקעין פרטיים ותוך התעלמות מופגנת מפגיעה בזכויות קניין ומשלטון החוק, אינה יכולה להיחשב כ"תכלית ראויה". לכך מוסיף היועץ כי החוק אף אינו צולח את שלושת מבחני המידתיות הקבועים בפסקת ההגבלה. </w:t>
      </w:r>
    </w:p>
    <w:p w14:paraId="22CAD0F9" w14:textId="77777777" w:rsidR="000E5D20" w:rsidRPr="00643EF4" w:rsidRDefault="000E5D20" w:rsidP="000E5D20">
      <w:pPr>
        <w:pStyle w:val="Ruller41"/>
        <w:rPr>
          <w:rtl/>
        </w:rPr>
      </w:pPr>
      <w:r w:rsidRPr="00643EF4">
        <w:rPr>
          <w:rtl/>
        </w:rPr>
        <w:tab/>
      </w:r>
    </w:p>
    <w:p w14:paraId="59BFA4A4"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עמדת הממשלה </w:t>
      </w:r>
    </w:p>
    <w:p w14:paraId="281C0CA8" w14:textId="77777777" w:rsidR="000E5D20" w:rsidRPr="00643EF4" w:rsidRDefault="000E5D20" w:rsidP="000E5D20">
      <w:pPr>
        <w:pStyle w:val="Ruller41"/>
        <w:rPr>
          <w:rFonts w:ascii="Century" w:hAnsi="Century" w:cs="Miriam"/>
          <w:b/>
          <w:spacing w:val="0"/>
          <w:szCs w:val="24"/>
          <w:rtl/>
        </w:rPr>
      </w:pPr>
    </w:p>
    <w:p w14:paraId="571E6425" w14:textId="77777777" w:rsidR="000E5D20" w:rsidRPr="00643EF4" w:rsidRDefault="000E5D20" w:rsidP="000E5D20">
      <w:pPr>
        <w:pStyle w:val="Ruller4"/>
        <w:tabs>
          <w:tab w:val="num" w:pos="10307"/>
        </w:tabs>
        <w:rPr>
          <w:rtl/>
        </w:rPr>
      </w:pPr>
      <w:r w:rsidRPr="00643EF4">
        <w:rPr>
          <w:rFonts w:hint="cs"/>
          <w:rtl/>
        </w:rPr>
        <w:t xml:space="preserve">הממשלה סבורה מנגד כי דין העתירות להידחות. לטענתה לא קיימת בדין הישראלי מניעה שהכנסת תחוקק חוקים שיחולו מחוץ לשטח הריבוני של המדינה. </w:t>
      </w:r>
      <w:r w:rsidRPr="00643EF4">
        <w:rPr>
          <w:rFonts w:ascii="Century" w:hAnsi="Century" w:hint="cs"/>
          <w:rtl/>
        </w:rPr>
        <w:t>הממשלה מוסיפה כי ככל שדיני התפיסה הלוחמתית חלים באזור והם מעניקים סמכות חקיקה למפקד הצבאי, קל וחומר שיש סמכות כזו גם לכנסת.</w:t>
      </w:r>
      <w:r w:rsidRPr="00643EF4">
        <w:rPr>
          <w:rFonts w:hint="cs"/>
          <w:rtl/>
        </w:rPr>
        <w:t xml:space="preserve"> עוד מזכירה הממשלה את אופיו המדיני והפוליטי של ההסדר ואת מידת האיפוק והריסון שעל בית המשפט לנקוט בבואו להעבירו תחת שבט הביקורת השיפוטית. באשר לחוקתיות החוק טוענת הממשלה כי החוק חוקתי והוא צולח את מבחני פסקת ההגבלה. בהקשר זה נטען כי אין יסוד לטענת העותרים לפיה החוק אינו שוויוני ומפלה. מכל מקום, נטען כי החוק מקדם מספר תכליות ראויות ובראשן הסדרת מעמדם של יישובים, שכונות או בתים שהסדרתם נמנעה עד כה, דבר שייתר הריסה של למעלה מ-3,000 מבנים שהוקמו באישור מהמדינה או בעידודה וביוזמתה. הממשלה מסכימה כי הסדרים אחדים בחוק אכן פוגעים בזכות הקניין של התושבים הפלסטינים. עם זאת מדובר לשיטתה בפגיעה מסויגת שכן, לדבריה, במקרים רבים מדובר במקרקעין המצויים בלב התיישבות ישראלית ואין לפלסטינים תושבי האזור יכולת מעשית לממש את הזכויות בהם.</w:t>
      </w:r>
      <w:r w:rsidRPr="00643EF4">
        <w:rPr>
          <w:rtl/>
        </w:rPr>
        <w:t xml:space="preserve"> </w:t>
      </w:r>
      <w:r w:rsidRPr="00643EF4">
        <w:rPr>
          <w:rFonts w:hint="cs"/>
          <w:rtl/>
        </w:rPr>
        <w:t xml:space="preserve">בנסיבות אלו, ולנוכח המנגנונים המאזנים הקיימים בהסדר בין התכלית ובין הפגיעה בזכויות, סבורה הממשלה כי הוא אינו מגלה עילה להתערבות. </w:t>
      </w:r>
    </w:p>
    <w:p w14:paraId="43F4B47C" w14:textId="77777777" w:rsidR="000E5D20" w:rsidRPr="00643EF4" w:rsidRDefault="000E5D20" w:rsidP="000E5D20">
      <w:pPr>
        <w:pStyle w:val="Ruller41"/>
        <w:rPr>
          <w:rFonts w:ascii="Century" w:hAnsi="Century"/>
          <w:rtl/>
        </w:rPr>
      </w:pPr>
      <w:r w:rsidRPr="00643EF4">
        <w:rPr>
          <w:rFonts w:ascii="Century" w:hAnsi="Century" w:cs="Miriam"/>
          <w:b/>
          <w:spacing w:val="0"/>
          <w:szCs w:val="24"/>
          <w:rtl/>
        </w:rPr>
        <w:tab/>
      </w:r>
    </w:p>
    <w:p w14:paraId="1DBCD91B" w14:textId="77777777" w:rsidR="000E5D20" w:rsidRPr="00643EF4" w:rsidRDefault="000E5D20" w:rsidP="000E5D20">
      <w:pPr>
        <w:pStyle w:val="Ruller4"/>
        <w:tabs>
          <w:tab w:val="num" w:pos="10307"/>
        </w:tabs>
      </w:pPr>
      <w:r w:rsidRPr="00643EF4">
        <w:rPr>
          <w:rFonts w:hint="cs"/>
          <w:rtl/>
        </w:rPr>
        <w:t xml:space="preserve">במישור המשפט הבינלאומי טוענת הממשלה כי דין טענות העותרים להידחות. בפתח הדברים מציינת הממשלה כי חקיקת הכנסת אינה כפופה למשפט הבינלאומי, אלא אם כן הוא אומץ בדין הישראלי הפנימי. לשיטתה, הטענה לפיה המשפט הבינלאומי, כשלעצמו, יכול להוות עילה לביקורת שיפוטית ולפסילה של חקיקה ראשית עומדת בסתירה לעקרונות של ריבונות המדינה ושלטון הרוב. אף לגופם של דברים, הממשלה </w:t>
      </w:r>
      <w:r w:rsidRPr="00643EF4">
        <w:rPr>
          <w:rFonts w:hint="cs"/>
          <w:rtl/>
        </w:rPr>
        <w:lastRenderedPageBreak/>
        <w:t xml:space="preserve">סבורה כי חוק ההסדרה אינו סותר נורמות מן המשפט הבינלאומי ובכלל זה את דיני התפיסה הלוחמתית וכללי המשפט הבינלאומי הפלילי. לנוכח כל אלה סבורה הממשלה כי יש לדחות את העתירות. </w:t>
      </w:r>
    </w:p>
    <w:p w14:paraId="70E1B566" w14:textId="77777777" w:rsidR="000E5D20" w:rsidRPr="00643EF4" w:rsidRDefault="000E5D20" w:rsidP="000E5D20">
      <w:pPr>
        <w:pStyle w:val="Ruller4"/>
        <w:numPr>
          <w:ilvl w:val="0"/>
          <w:numId w:val="0"/>
        </w:numPr>
      </w:pPr>
    </w:p>
    <w:p w14:paraId="1DF90D08" w14:textId="77777777" w:rsidR="000E5D20" w:rsidRPr="00643EF4" w:rsidRDefault="000E5D20" w:rsidP="000E5D20">
      <w:pPr>
        <w:pStyle w:val="Ruller4"/>
        <w:numPr>
          <w:ilvl w:val="0"/>
          <w:numId w:val="0"/>
        </w:numPr>
      </w:pPr>
      <w:r w:rsidRPr="00643EF4">
        <w:rPr>
          <w:rtl/>
        </w:rPr>
        <w:tab/>
      </w:r>
      <w:r w:rsidRPr="00643EF4">
        <w:rPr>
          <w:rFonts w:hint="cs"/>
          <w:rtl/>
        </w:rPr>
        <w:t xml:space="preserve">הכנסת ביקשה לאמץ כעמדתה את התייחסות הממשלה לסוגיות האמורות ואף היא סבורה שיש לדחות את העתירות לנוכח הייחודיות של הנושא והצורך במציאת פתרון שיאפשר הסדרה כוללת של ההתיישבות הישראלית באזור. למצער ביקשה הכנסת בדיון שהתקיים בפנינו כי בית משפט זה יקבע קווים מנחים שיאפשרו את תיקון הוראות החוק באופן הצולח את הביקורת השיפוטית. </w:t>
      </w:r>
    </w:p>
    <w:p w14:paraId="7675B2DC" w14:textId="77777777" w:rsidR="000E5D20" w:rsidRPr="00643EF4" w:rsidRDefault="000E5D20" w:rsidP="000E5D20">
      <w:pPr>
        <w:pStyle w:val="Ruller41"/>
        <w:rPr>
          <w:rtl/>
        </w:rPr>
      </w:pPr>
    </w:p>
    <w:p w14:paraId="1C5BA2A7"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המועצה האזורית מטה בנימין</w:t>
      </w:r>
    </w:p>
    <w:p w14:paraId="027B968C" w14:textId="77777777" w:rsidR="000E5D20" w:rsidRPr="00643EF4" w:rsidRDefault="000E5D20" w:rsidP="000E5D20">
      <w:pPr>
        <w:pStyle w:val="Ruller41"/>
        <w:rPr>
          <w:rFonts w:ascii="Century" w:hAnsi="Century" w:cs="Miriam"/>
          <w:b/>
          <w:spacing w:val="0"/>
          <w:szCs w:val="24"/>
          <w:rtl/>
        </w:rPr>
      </w:pPr>
    </w:p>
    <w:p w14:paraId="5A4B1CF9" w14:textId="77777777" w:rsidR="000E5D20" w:rsidRPr="00643EF4" w:rsidRDefault="000E5D20" w:rsidP="000E5D20">
      <w:pPr>
        <w:pStyle w:val="Ruller4"/>
        <w:tabs>
          <w:tab w:val="num" w:pos="10307"/>
        </w:tabs>
        <w:rPr>
          <w:rtl/>
        </w:rPr>
      </w:pPr>
      <w:r w:rsidRPr="00643EF4">
        <w:rPr>
          <w:rFonts w:hint="cs"/>
          <w:rtl/>
        </w:rPr>
        <w:t xml:space="preserve">המועצה האזורית מטה בנימין (להלן: </w:t>
      </w:r>
      <w:r w:rsidRPr="00643EF4">
        <w:rPr>
          <w:rFonts w:cs="Miriam" w:hint="cs"/>
          <w:b/>
          <w:spacing w:val="0"/>
          <w:sz w:val="22"/>
          <w:szCs w:val="24"/>
          <w:rtl/>
        </w:rPr>
        <w:t>מועצת מטה בנימין</w:t>
      </w:r>
      <w:r w:rsidRPr="00643EF4">
        <w:rPr>
          <w:rFonts w:hint="cs"/>
          <w:rtl/>
        </w:rPr>
        <w:t xml:space="preserve"> או </w:t>
      </w:r>
      <w:r w:rsidRPr="00643EF4">
        <w:rPr>
          <w:rFonts w:cs="Miriam" w:hint="cs"/>
          <w:b/>
          <w:spacing w:val="0"/>
          <w:sz w:val="22"/>
          <w:szCs w:val="24"/>
          <w:rtl/>
        </w:rPr>
        <w:t>המועצה</w:t>
      </w:r>
      <w:r w:rsidRPr="00643EF4">
        <w:rPr>
          <w:rFonts w:hint="cs"/>
          <w:rtl/>
        </w:rPr>
        <w:t xml:space="preserve">), אשר צורפה כמשיבה לעתירות (החלטת השופט </w:t>
      </w:r>
      <w:r w:rsidRPr="00643EF4">
        <w:rPr>
          <w:rFonts w:cs="Miriam" w:hint="cs"/>
          <w:b/>
          <w:spacing w:val="0"/>
          <w:szCs w:val="24"/>
          <w:rtl/>
        </w:rPr>
        <w:t>נ' הנדל</w:t>
      </w:r>
      <w:r w:rsidRPr="00643EF4">
        <w:rPr>
          <w:rFonts w:hint="cs"/>
          <w:sz w:val="22"/>
          <w:rtl/>
        </w:rPr>
        <w:t xml:space="preserve"> מיום 26.6.2017),</w:t>
      </w:r>
      <w:r w:rsidRPr="00643EF4">
        <w:rPr>
          <w:rFonts w:hint="cs"/>
          <w:rtl/>
        </w:rPr>
        <w:t xml:space="preserve"> סבורה אף היא כי יש לדחותן. בתגובה שהגישה המועצה הודגש כי לאורך שנים תמכה המדינה ועודדה הקמה ופיתוח של ההתיישבות הישראלית באזור ועל כן, המתיישבים הישראלים התיישבו שם מתוך הסתמכות על מצגיה של המדינה. מציאות זו מחייבת, כך לטענת המועצה, הסדרה מקיפה של ההתיישבות באזור ומציאת פתרון לתושבים הישראלים העומדים בפני סכנת פינוי והריסה של בתיהם. </w:t>
      </w:r>
    </w:p>
    <w:p w14:paraId="0EA36B6E" w14:textId="77777777" w:rsidR="000E5D20" w:rsidRPr="00643EF4" w:rsidRDefault="000E5D20" w:rsidP="000E5D20">
      <w:pPr>
        <w:pStyle w:val="Ruller41"/>
        <w:rPr>
          <w:rtl/>
        </w:rPr>
      </w:pPr>
    </w:p>
    <w:p w14:paraId="2E5D25D1" w14:textId="77777777" w:rsidR="000E5D20" w:rsidRPr="00643EF4" w:rsidRDefault="000E5D20" w:rsidP="000E5D20">
      <w:pPr>
        <w:pStyle w:val="Ruller4"/>
        <w:tabs>
          <w:tab w:val="num" w:pos="10307"/>
        </w:tabs>
      </w:pPr>
      <w:r w:rsidRPr="00643EF4">
        <w:rPr>
          <w:rFonts w:hint="cs"/>
          <w:rtl/>
        </w:rPr>
        <w:t xml:space="preserve">לגופם של דברים סבורה המועצה כי אין בחוק כל פגם, ובדומה לטענות הממשלה גם היא טוענת כי לכנסת סמכות לחוקק חוקים החלים באזור. נטען כי החוק אינו מפלה את תושבי האזור הפלסטינים וכי ההסדרים הקבועים בו דומים במהותם להסדרים המשפטיים שחלים בתחומי ישראל בהקשרים דומים. הוטעם כי לשון החוק אינה נוקטת כל הבחנה בין תושבי האזור הישראלים למי שאינם ישראלים, ועל כן אין יסוד לטענת הפגיעה בשוויון. עוד גורסת המועצה כי החוק אינו מוסיף על הסמכויות הקיימות כיום למפקד הצבאי בעניין נטילת מקרקעין ועל כן, אינו מגלה כל פגיעה בזכות הקניין של תושבי האזור הפלסטינים. המועצה מוסיפה וטוענת כי מכל מקום החוק עומד בתנאי פסקת ההגבלה שבחוק היסוד ועל כן לגישתה אין מקום להורות על בטלותו. עוד נטען כי גם אם החוק סותר באופן כזה או אחר את ההסדרים הרלוונטיים בדין הבינלאומי, חקיקת הכנסת גוברת. </w:t>
      </w:r>
    </w:p>
    <w:p w14:paraId="46808802" w14:textId="77777777" w:rsidR="000E5D20" w:rsidRPr="00643EF4" w:rsidRDefault="000E5D20" w:rsidP="000E5D20">
      <w:pPr>
        <w:pStyle w:val="Ruller41"/>
        <w:rPr>
          <w:rFonts w:ascii="Century" w:hAnsi="Century" w:cs="Miriam"/>
          <w:b/>
          <w:spacing w:val="0"/>
          <w:szCs w:val="24"/>
          <w:rtl/>
        </w:rPr>
      </w:pPr>
    </w:p>
    <w:p w14:paraId="4BEEA0B3"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המבקשים להצטרף לדיון בעתירות </w:t>
      </w:r>
    </w:p>
    <w:p w14:paraId="1C97C30E"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b/>
          <w:spacing w:val="0"/>
          <w:szCs w:val="24"/>
          <w:rtl/>
        </w:rPr>
        <w:tab/>
      </w:r>
    </w:p>
    <w:p w14:paraId="0522A344" w14:textId="77777777" w:rsidR="000E5D20" w:rsidRPr="00643EF4" w:rsidRDefault="000E5D20" w:rsidP="000E5D20">
      <w:pPr>
        <w:pStyle w:val="Ruller4"/>
        <w:tabs>
          <w:tab w:val="num" w:pos="10307"/>
        </w:tabs>
      </w:pPr>
      <w:r w:rsidRPr="00643EF4">
        <w:rPr>
          <w:rFonts w:hint="cs"/>
          <w:rtl/>
        </w:rPr>
        <w:t xml:space="preserve">28 מרצים וחוקרים בפקולטות ובבתי ספר למשפטים בארץ המתמחים במשפט ציבורי, בינלאומי ובדיני קניין ביקשו להצטרף כ"ידידי בית המשפט" לעתירות. בחוות </w:t>
      </w:r>
      <w:r w:rsidRPr="00643EF4">
        <w:rPr>
          <w:rFonts w:hint="cs"/>
          <w:rtl/>
        </w:rPr>
        <w:lastRenderedPageBreak/>
        <w:t xml:space="preserve">דעת שהגישו מטעמם נטען כי חוק ההסדרה הוא חוק יוצא דופן מבחינת תוכנו של ההסדר שנקבע בו ומבחינת האוכלוסייה הנפגעת ממנו. החוקרים מבקשים כי בית משפט זה יקבע שחוק ההסדרה אינו תקף וכי יש להכריז על בטלותו בשל שלוש עילות חלופיות: </w:t>
      </w:r>
      <w:r w:rsidRPr="00643EF4">
        <w:rPr>
          <w:rFonts w:ascii="Century" w:hAnsi="Century" w:cs="Miriam" w:hint="cs"/>
          <w:b/>
          <w:spacing w:val="0"/>
          <w:sz w:val="22"/>
          <w:szCs w:val="24"/>
          <w:rtl/>
        </w:rPr>
        <w:t>הראשונה</w:t>
      </w:r>
      <w:r w:rsidRPr="00643EF4">
        <w:rPr>
          <w:rFonts w:hint="cs"/>
          <w:rtl/>
        </w:rPr>
        <w:t xml:space="preserve"> מבוססת על המשפט החוקתי הישראלי ועניינה הפגיעה שמסב החוק לזכות הקניין ולזכות לשוויון של פלסטינים תושבי האזור; העילה </w:t>
      </w:r>
      <w:r w:rsidRPr="00643EF4">
        <w:rPr>
          <w:rFonts w:ascii="Century" w:hAnsi="Century" w:cs="Miriam" w:hint="cs"/>
          <w:b/>
          <w:spacing w:val="0"/>
          <w:sz w:val="22"/>
          <w:szCs w:val="24"/>
          <w:rtl/>
        </w:rPr>
        <w:t>השנייה</w:t>
      </w:r>
      <w:r w:rsidRPr="00643EF4">
        <w:rPr>
          <w:rFonts w:hint="cs"/>
          <w:rtl/>
        </w:rPr>
        <w:t xml:space="preserve"> נוגעת לאיסור המוטל על הכנסת לקבוע הסדרים בעניינם של תושבי האזור שאינם אזרחי ישראל; העילה </w:t>
      </w:r>
      <w:r w:rsidRPr="00643EF4">
        <w:rPr>
          <w:rFonts w:ascii="Century" w:hAnsi="Century" w:cs="Miriam" w:hint="cs"/>
          <w:b/>
          <w:spacing w:val="0"/>
          <w:sz w:val="22"/>
          <w:szCs w:val="24"/>
          <w:rtl/>
        </w:rPr>
        <w:t>השלישית</w:t>
      </w:r>
      <w:r w:rsidRPr="00643EF4">
        <w:rPr>
          <w:rFonts w:hint="cs"/>
          <w:rtl/>
        </w:rPr>
        <w:t xml:space="preserve"> נוגעת לסתירה בין חוק ההסדרה ובין דיני התפיסה הלוחמתית ונורמות נוספות במשפט הפלילי הבינלאומי ובמשפט זכויות האדם הבינלאומי. </w:t>
      </w:r>
    </w:p>
    <w:p w14:paraId="1CDE1D81" w14:textId="77777777" w:rsidR="000E5D20" w:rsidRPr="00643EF4" w:rsidRDefault="000E5D20" w:rsidP="000E5D20">
      <w:pPr>
        <w:pStyle w:val="Ruller4"/>
        <w:numPr>
          <w:ilvl w:val="0"/>
          <w:numId w:val="0"/>
        </w:numPr>
        <w:rPr>
          <w:rtl/>
        </w:rPr>
      </w:pPr>
    </w:p>
    <w:p w14:paraId="101EA160" w14:textId="6B18988C" w:rsidR="000E5D20" w:rsidRPr="00643EF4" w:rsidRDefault="000E5D20" w:rsidP="000E5D20">
      <w:pPr>
        <w:pStyle w:val="Ruller4"/>
        <w:numPr>
          <w:ilvl w:val="0"/>
          <w:numId w:val="0"/>
        </w:numPr>
        <w:rPr>
          <w:rtl/>
        </w:rPr>
      </w:pPr>
      <w:r w:rsidRPr="00643EF4">
        <w:rPr>
          <w:rtl/>
        </w:rPr>
        <w:tab/>
      </w:r>
      <w:r w:rsidRPr="00643EF4">
        <w:rPr>
          <w:rFonts w:hint="cs"/>
          <w:rtl/>
        </w:rPr>
        <w:t xml:space="preserve">ביום 15.3.2017 הורה השופט </w:t>
      </w:r>
      <w:r w:rsidRPr="00643EF4">
        <w:rPr>
          <w:rFonts w:ascii="Century" w:hAnsi="Century" w:cs="Miriam" w:hint="cs"/>
          <w:b/>
          <w:spacing w:val="0"/>
          <w:szCs w:val="24"/>
          <w:rtl/>
        </w:rPr>
        <w:t>נ' הנדל</w:t>
      </w:r>
      <w:r w:rsidRPr="00643EF4">
        <w:rPr>
          <w:rFonts w:ascii="Century" w:hAnsi="Century" w:hint="cs"/>
          <w:rtl/>
        </w:rPr>
        <w:t xml:space="preserve"> כי בקשת ההצטרפות הנ"ל תידון במהלך הדיון בעתירות.</w:t>
      </w:r>
      <w:r w:rsidRPr="00643EF4">
        <w:rPr>
          <w:rFonts w:hint="cs"/>
          <w:rtl/>
        </w:rPr>
        <w:t xml:space="preserve"> בקשת המרצים להצטרף לעתירות וחוות הדעת שהגישו הובאו לעיוננו וכן ניתנה להם אפשרות להוסיף טענות בעל פה</w:t>
      </w:r>
      <w:r w:rsidR="00B47EBE" w:rsidRPr="00643EF4">
        <w:rPr>
          <w:rFonts w:hint="cs"/>
          <w:rtl/>
        </w:rPr>
        <w:t>, ובכך מוצתה הבקשה</w:t>
      </w:r>
      <w:r w:rsidRPr="00643EF4">
        <w:rPr>
          <w:rFonts w:hint="cs"/>
          <w:rtl/>
        </w:rPr>
        <w:t xml:space="preserve">. </w:t>
      </w:r>
    </w:p>
    <w:p w14:paraId="0221AC9B" w14:textId="77777777" w:rsidR="000E5D20" w:rsidRPr="00643EF4" w:rsidRDefault="000E5D20" w:rsidP="000E5D20">
      <w:pPr>
        <w:pStyle w:val="Ruller41"/>
        <w:rPr>
          <w:rtl/>
        </w:rPr>
      </w:pPr>
    </w:p>
    <w:p w14:paraId="60E769C8" w14:textId="7975AC5C" w:rsidR="000E5D20" w:rsidRPr="00643EF4" w:rsidRDefault="000E5D20" w:rsidP="000E5D20">
      <w:pPr>
        <w:pStyle w:val="Ruller4"/>
        <w:numPr>
          <w:ilvl w:val="0"/>
          <w:numId w:val="0"/>
        </w:numPr>
        <w:rPr>
          <w:rFonts w:ascii="Century" w:hAnsi="Century"/>
          <w:rtl/>
        </w:rPr>
      </w:pPr>
      <w:r w:rsidRPr="00643EF4">
        <w:rPr>
          <w:rFonts w:ascii="Century" w:hAnsi="Century"/>
          <w:sz w:val="22"/>
          <w:rtl/>
        </w:rPr>
        <w:tab/>
      </w:r>
      <w:r w:rsidRPr="00643EF4">
        <w:rPr>
          <w:rFonts w:ascii="Century" w:hAnsi="Century" w:hint="cs"/>
          <w:sz w:val="22"/>
          <w:rtl/>
        </w:rPr>
        <w:t xml:space="preserve">בקשת </w:t>
      </w:r>
      <w:r w:rsidRPr="00643EF4">
        <w:rPr>
          <w:rFonts w:hint="cs"/>
          <w:rtl/>
        </w:rPr>
        <w:t xml:space="preserve">עפרה כפר שיתופי להתיישבות קהילתית בע"מ להצטרף כמשיבה לעתירה נדחתה </w:t>
      </w:r>
      <w:r w:rsidR="00E40294" w:rsidRPr="00643EF4">
        <w:rPr>
          <w:rFonts w:hint="cs"/>
          <w:rtl/>
        </w:rPr>
        <w:t xml:space="preserve">על ידי השופט </w:t>
      </w:r>
      <w:r w:rsidR="00E40294" w:rsidRPr="00643EF4">
        <w:rPr>
          <w:rFonts w:ascii="Century" w:hAnsi="Century" w:cs="Miriam" w:hint="cs"/>
          <w:b/>
          <w:spacing w:val="0"/>
          <w:sz w:val="22"/>
          <w:szCs w:val="24"/>
          <w:rtl/>
        </w:rPr>
        <w:t>נ' הנדל</w:t>
      </w:r>
      <w:r w:rsidR="00E40294" w:rsidRPr="00643EF4">
        <w:rPr>
          <w:rFonts w:hint="cs"/>
          <w:rtl/>
        </w:rPr>
        <w:t xml:space="preserve"> ביום 2.7.2017.</w:t>
      </w:r>
      <w:r w:rsidRPr="00643EF4">
        <w:rPr>
          <w:rFonts w:hint="cs"/>
          <w:rtl/>
        </w:rPr>
        <w:t xml:space="preserve"> סמוך לפני הדיון שהתקיים בעתירות הגיש יוסף עזרא, שהוא לטענתו בעל נכסי מקרקעין בחברון ובשטחים נוספים, בקשה להצטרף לעתירות. לא ראיתי מקום להורות על צירופו של יוסף עזרא להליך מן הטעמים שפירט, משאין בטיעוניו להוסיף על הטיעונים שבפנינו. עזרא אף לא נכח בדיון בעתירה וטעם זה לבדו מצדיק את דחיית בקשתו. </w:t>
      </w:r>
    </w:p>
    <w:p w14:paraId="28D215B2" w14:textId="77777777" w:rsidR="000E5D20" w:rsidRPr="00643EF4" w:rsidRDefault="000E5D20" w:rsidP="000E5D20">
      <w:pPr>
        <w:pStyle w:val="Ruller41"/>
        <w:rPr>
          <w:rFonts w:ascii="Century" w:hAnsi="Century" w:cs="Miriam"/>
          <w:b/>
          <w:spacing w:val="0"/>
          <w:szCs w:val="24"/>
          <w:rtl/>
        </w:rPr>
      </w:pPr>
    </w:p>
    <w:p w14:paraId="1E9717B2"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ההליכים לאחר הגשת העתירות</w:t>
      </w:r>
    </w:p>
    <w:p w14:paraId="2574CCD3" w14:textId="77777777" w:rsidR="000E5D20" w:rsidRPr="00643EF4" w:rsidRDefault="000E5D20" w:rsidP="000E5D20">
      <w:pPr>
        <w:pStyle w:val="Ruller41"/>
        <w:rPr>
          <w:rtl/>
        </w:rPr>
      </w:pPr>
    </w:p>
    <w:p w14:paraId="0CE2873C" w14:textId="77777777" w:rsidR="000E5D20" w:rsidRPr="00643EF4" w:rsidRDefault="000E5D20" w:rsidP="000E5D20">
      <w:pPr>
        <w:pStyle w:val="Ruller4"/>
        <w:tabs>
          <w:tab w:val="num" w:pos="10307"/>
        </w:tabs>
        <w:rPr>
          <w:rtl/>
        </w:rPr>
      </w:pPr>
      <w:r w:rsidRPr="00643EF4">
        <w:rPr>
          <w:rFonts w:hint="cs"/>
          <w:rtl/>
        </w:rPr>
        <w:t xml:space="preserve">ביום 15.3.2017 הורה בית משפט זה (השופט </w:t>
      </w:r>
      <w:r w:rsidRPr="00643EF4">
        <w:rPr>
          <w:rFonts w:ascii="Century" w:hAnsi="Century" w:cs="Miriam" w:hint="cs"/>
          <w:b/>
          <w:spacing w:val="0"/>
          <w:sz w:val="22"/>
          <w:szCs w:val="24"/>
          <w:rtl/>
        </w:rPr>
        <w:t>נ' הנדל</w:t>
      </w:r>
      <w:r w:rsidRPr="00643EF4">
        <w:rPr>
          <w:rFonts w:hint="cs"/>
          <w:rtl/>
        </w:rPr>
        <w:t xml:space="preserve">) על איחוד הדיון בעתירות דנן, וביום 17.8.2017 ניתן תוקף של צו ביניים ארעי להסדר הדיוני שהוצע על ידי היועץ המשפטי לממשלה ולפיו לא יבוצעו פעולות של רישום, נטילת זכויות במקרקעין, הקצאה ותכנון לפי סעיפים 6-3 לחוק. כמו כן, הליכי האכיפה והצווים המינהליים שעליהם חל החוק ביחס לבנייה קיימת ביישובים המנויים בתוספת </w:t>
      </w:r>
      <w:r w:rsidRPr="00643EF4">
        <w:rPr>
          <w:rtl/>
        </w:rPr>
        <w:t>–</w:t>
      </w:r>
      <w:r w:rsidRPr="00643EF4">
        <w:rPr>
          <w:rFonts w:hint="cs"/>
          <w:rtl/>
        </w:rPr>
        <w:t xml:space="preserve"> יוקפאו. עוד נקבע כי לא יבוצעו צווים אופרטיביים שעליהם חל החוק, אשר יש בהם כדי לשנות את המצב הקיים בשטח (כגון צווי הריסה), וזאת לגבי בנייה קיימת ב"התיישבות" שלכאורה חלים לגביה סעיפים 3 ו-7 לחוק. היועץ המשפטי לממשלה הבהיר כי לפי הסדר זה לא תהיה כל מניעה לקיים פעולות של בחינה ובדיקה הנדרשות לפי הוראות סעיף 3 לחוק לשם בירור העובדות ביחס להיקף ההתיישבות שעליה חל חוק ההסדרה. זאת, בשים לב ללוחות הזמנים שנקבעו על ידי המחוקק ולכך שאין מדובר בפעולות בלתי הפיכות. </w:t>
      </w:r>
    </w:p>
    <w:p w14:paraId="696AAE55" w14:textId="77777777" w:rsidR="000E5D20" w:rsidRPr="00643EF4" w:rsidRDefault="000E5D20" w:rsidP="000E5D20">
      <w:pPr>
        <w:pStyle w:val="Ruller4"/>
        <w:numPr>
          <w:ilvl w:val="0"/>
          <w:numId w:val="0"/>
        </w:numPr>
        <w:rPr>
          <w:rtl/>
        </w:rPr>
      </w:pPr>
    </w:p>
    <w:p w14:paraId="3CAEF328" w14:textId="77777777" w:rsidR="000E5D20" w:rsidRPr="00643EF4" w:rsidRDefault="000E5D20" w:rsidP="000E5D20">
      <w:pPr>
        <w:pStyle w:val="Ruller4"/>
        <w:tabs>
          <w:tab w:val="num" w:pos="10307"/>
        </w:tabs>
        <w:rPr>
          <w:rFonts w:ascii="Century" w:hAnsi="Century" w:cs="Miriam"/>
          <w:b/>
          <w:spacing w:val="0"/>
          <w:szCs w:val="24"/>
        </w:rPr>
      </w:pPr>
      <w:r w:rsidRPr="00643EF4">
        <w:rPr>
          <w:rFonts w:hint="cs"/>
          <w:rtl/>
        </w:rPr>
        <w:t xml:space="preserve">ביום 4.12.2017 הוצא על ידי צו על תנאי בעתירות ונקבע כי הדיון בהן יישמע בפני הרכב מורחב של תשעה שופטים. הדיון בעתירות התקיים ביום 3.6.2018 ובמסגרתו </w:t>
      </w:r>
      <w:r w:rsidRPr="00643EF4">
        <w:rPr>
          <w:rFonts w:hint="cs"/>
          <w:rtl/>
        </w:rPr>
        <w:lastRenderedPageBreak/>
        <w:t>שבו הצדדים על טענותיהם והבהירו את הטעון הבהרה. לאחר הדיון אפשרנו לצדדים להגיש השלמת טיעון בכתב, אך דחינו את בקשת מועצת מטה בנימין לערוך סיור ביישובים מגרון, עמונה, עפרה ועלי (ראו החלטה מיום 29.7.2018). ביום 29.10.2018 הגישה מועצת מטה בנימין בקשה לבטל את צו הביניים ולחלופין להורות על צמצומו כך שלא יחול על בנייה בישובים מצפה כרמים וחרשה. בקשה זו נדחתה אף היא (ראו החלטה מיום 25.11.2018). בהמשך, ביום 24.12.2018 הגיש היועץ המשפטי לממשלה הודעת עדכון מטעמו ובה פירט, בין היתר, את ההתקדמות ביישום אמצעים אחרים שיש בהם כדי להביא להסדרת הבנייה שבמוקד חוק ההסדרה והצדדים הגישו את תגובותיהם להודעת העדכון מטעם היועץ.</w:t>
      </w:r>
    </w:p>
    <w:p w14:paraId="1EB31E2C" w14:textId="77777777" w:rsidR="000E5D20" w:rsidRPr="00643EF4" w:rsidRDefault="000E5D20" w:rsidP="000E5D20">
      <w:pPr>
        <w:pStyle w:val="Ruller4"/>
        <w:numPr>
          <w:ilvl w:val="0"/>
          <w:numId w:val="0"/>
        </w:numPr>
        <w:rPr>
          <w:rFonts w:ascii="Century" w:hAnsi="Century" w:cs="Miriam"/>
          <w:b/>
          <w:spacing w:val="0"/>
          <w:szCs w:val="24"/>
          <w:rtl/>
        </w:rPr>
      </w:pPr>
    </w:p>
    <w:p w14:paraId="58995340" w14:textId="77777777" w:rsidR="000E5D20" w:rsidRPr="00643EF4" w:rsidRDefault="000E5D20" w:rsidP="000E5D20">
      <w:pPr>
        <w:pStyle w:val="Ruller4"/>
        <w:numPr>
          <w:ilvl w:val="0"/>
          <w:numId w:val="0"/>
        </w:numPr>
        <w:rPr>
          <w:rFonts w:ascii="Century" w:hAnsi="Century" w:cs="Miriam"/>
          <w:b/>
          <w:spacing w:val="0"/>
          <w:szCs w:val="24"/>
          <w:rtl/>
        </w:rPr>
      </w:pPr>
      <w:r w:rsidRPr="00643EF4">
        <w:rPr>
          <w:rFonts w:ascii="Century" w:hAnsi="Century" w:cs="Miriam" w:hint="cs"/>
          <w:b/>
          <w:spacing w:val="0"/>
          <w:szCs w:val="24"/>
          <w:rtl/>
        </w:rPr>
        <w:t>דיון והכרעה</w:t>
      </w:r>
    </w:p>
    <w:p w14:paraId="0D1BB337" w14:textId="77777777" w:rsidR="000E5D20" w:rsidRPr="00643EF4" w:rsidRDefault="000E5D20" w:rsidP="000E5D20">
      <w:pPr>
        <w:pStyle w:val="Ruller4"/>
        <w:numPr>
          <w:ilvl w:val="0"/>
          <w:numId w:val="0"/>
        </w:numPr>
        <w:rPr>
          <w:rtl/>
        </w:rPr>
      </w:pPr>
    </w:p>
    <w:p w14:paraId="7AB70D35" w14:textId="5642343B" w:rsidR="000E5D20" w:rsidRPr="00643EF4" w:rsidRDefault="000E5D20" w:rsidP="00087889">
      <w:pPr>
        <w:pStyle w:val="Ruller4"/>
        <w:tabs>
          <w:tab w:val="num" w:pos="10307"/>
        </w:tabs>
        <w:rPr>
          <w:rFonts w:ascii="FrankRuehl" w:hAnsi="FrankRuehl"/>
          <w:sz w:val="28"/>
          <w:rtl/>
        </w:rPr>
      </w:pPr>
      <w:r w:rsidRPr="00643EF4">
        <w:rPr>
          <w:rFonts w:ascii="FrankRuehl" w:hAnsi="FrankRuehl" w:hint="cs"/>
          <w:sz w:val="28"/>
          <w:rtl/>
        </w:rPr>
        <w:t xml:space="preserve">אקדים אחרית לראשית ואומר כי לגישתי יש לאמץ את עמדת היועץ המשפטי לממשלה ולהורות על בטלותו של חוק ההסדרה. תוצאה זו נובעת </w:t>
      </w:r>
      <w:r w:rsidR="00087889" w:rsidRPr="00643EF4">
        <w:rPr>
          <w:rFonts w:ascii="FrankRuehl" w:hAnsi="FrankRuehl" w:hint="cs"/>
          <w:sz w:val="28"/>
          <w:rtl/>
        </w:rPr>
        <w:t xml:space="preserve">מן המסקנה אליה הגעתי ולפיה </w:t>
      </w:r>
      <w:r w:rsidRPr="00643EF4">
        <w:rPr>
          <w:rFonts w:ascii="FrankRuehl" w:hAnsi="FrankRuehl" w:hint="cs"/>
          <w:sz w:val="28"/>
          <w:rtl/>
        </w:rPr>
        <w:t>החוק אינו עומד באמות המידה החוקתיות של המשפט הישראלי. נוכח מסקנה זו</w:t>
      </w:r>
      <w:r w:rsidR="004F3210" w:rsidRPr="00643EF4">
        <w:rPr>
          <w:rFonts w:ascii="FrankRuehl" w:hAnsi="FrankRuehl" w:hint="cs"/>
          <w:sz w:val="28"/>
          <w:rtl/>
        </w:rPr>
        <w:t>,</w:t>
      </w:r>
      <w:r w:rsidRPr="00643EF4">
        <w:rPr>
          <w:rFonts w:ascii="FrankRuehl" w:hAnsi="FrankRuehl" w:hint="cs"/>
          <w:sz w:val="28"/>
          <w:rtl/>
        </w:rPr>
        <w:t xml:space="preserve"> מתייתר הצורך להכריע בשאלות עקרוניות נוספות</w:t>
      </w:r>
      <w:r w:rsidR="004F3210" w:rsidRPr="00643EF4">
        <w:rPr>
          <w:rFonts w:ascii="FrankRuehl" w:hAnsi="FrankRuehl" w:hint="cs"/>
          <w:sz w:val="28"/>
          <w:rtl/>
        </w:rPr>
        <w:t xml:space="preserve"> וכבדות משקל</w:t>
      </w:r>
      <w:r w:rsidRPr="00643EF4">
        <w:rPr>
          <w:rFonts w:ascii="FrankRuehl" w:hAnsi="FrankRuehl" w:hint="cs"/>
          <w:sz w:val="28"/>
          <w:rtl/>
        </w:rPr>
        <w:t xml:space="preserve"> המועלות בעתירות ובהן:</w:t>
      </w:r>
      <w:r w:rsidRPr="00643EF4">
        <w:rPr>
          <w:rFonts w:ascii="FrankRuehl" w:hAnsi="FrankRuehl"/>
          <w:sz w:val="28"/>
          <w:rtl/>
        </w:rPr>
        <w:t xml:space="preserve"> </w:t>
      </w:r>
      <w:r w:rsidRPr="00643EF4">
        <w:rPr>
          <w:rFonts w:ascii="FrankRuehl" w:hAnsi="FrankRuehl" w:hint="cs"/>
          <w:sz w:val="28"/>
          <w:rtl/>
        </w:rPr>
        <w:t>שאלת סמכותה של הכנסת לחוקק חוק אשר חל בתחולה ישירה על האזור וכן שאלת תחולתו של חוק-יסוד: כבוד האדם וחירותו על האוכלוסייה הפלסטינית באזור, הכרוכה ושלובה בשאלת הסמכות.</w:t>
      </w:r>
      <w:r w:rsidRPr="00643EF4">
        <w:rPr>
          <w:rFonts w:ascii="FrankRuehl" w:hAnsi="FrankRuehl"/>
          <w:sz w:val="28"/>
          <w:rtl/>
        </w:rPr>
        <w:t xml:space="preserve"> </w:t>
      </w:r>
      <w:r w:rsidR="004F3210" w:rsidRPr="00643EF4">
        <w:rPr>
          <w:rFonts w:ascii="FrankRuehl" w:hAnsi="FrankRuehl" w:hint="cs"/>
          <w:sz w:val="28"/>
          <w:rtl/>
        </w:rPr>
        <w:t xml:space="preserve">לשאלות עקרוניות אלה אתייחס, אפוא, להלן בקצירת האומר בלבד. </w:t>
      </w:r>
    </w:p>
    <w:p w14:paraId="5B82AE5A" w14:textId="77777777" w:rsidR="000E5D20" w:rsidRPr="00643EF4" w:rsidRDefault="000E5D20" w:rsidP="000E5D20">
      <w:pPr>
        <w:pStyle w:val="Ruller41"/>
      </w:pPr>
    </w:p>
    <w:p w14:paraId="3F679587" w14:textId="28FBA655" w:rsidR="000E5D20" w:rsidRPr="00643EF4" w:rsidRDefault="000E5D20" w:rsidP="007B6409">
      <w:pPr>
        <w:pStyle w:val="Ruller4"/>
        <w:tabs>
          <w:tab w:val="num" w:pos="10307"/>
        </w:tabs>
        <w:rPr>
          <w:rFonts w:ascii="FrankRuehl" w:hAnsi="FrankRuehl"/>
          <w:sz w:val="28"/>
          <w:rtl/>
        </w:rPr>
      </w:pPr>
      <w:r w:rsidRPr="00643EF4">
        <w:rPr>
          <w:rFonts w:ascii="FrankRuehl" w:hAnsi="FrankRuehl"/>
          <w:sz w:val="28"/>
          <w:rtl/>
        </w:rPr>
        <w:t>אכן, חוק ההסדרה עומד בסתירה לעיקרון הריבונות הטריטוריאלית והוא חריג בנוף דברי החקיקה הישראלים מאחר שהכנסת קבעה בו בחקיקה ראשית הסדרים שיחולו על פלסטינים תושבי האזור</w:t>
      </w:r>
      <w:r w:rsidR="009155C3" w:rsidRPr="00643EF4">
        <w:rPr>
          <w:rFonts w:ascii="FrankRuehl" w:hAnsi="FrankRuehl"/>
          <w:sz w:val="28"/>
          <w:rtl/>
        </w:rPr>
        <w:t xml:space="preserve"> ועל מקרקעין המצויים באזור. </w:t>
      </w:r>
      <w:r w:rsidRPr="00643EF4">
        <w:rPr>
          <w:rFonts w:ascii="FrankRuehl" w:hAnsi="FrankRuehl"/>
          <w:sz w:val="28"/>
          <w:rtl/>
        </w:rPr>
        <w:t>אין זה המקרה הראשון שבו מחוקקת הכנסת חוקים אשר להם תחולה ישירה בשטחי האזור (</w:t>
      </w:r>
      <w:r w:rsidRPr="00643EF4">
        <w:rPr>
          <w:rFonts w:ascii="FrankRuehl" w:hAnsi="FrankRuehl" w:hint="cs"/>
          <w:sz w:val="28"/>
          <w:rtl/>
        </w:rPr>
        <w:t xml:space="preserve">ראו </w:t>
      </w:r>
      <w:r w:rsidRPr="00643EF4">
        <w:rPr>
          <w:rFonts w:ascii="Century" w:hAnsi="Century"/>
          <w:sz w:val="22"/>
          <w:rtl/>
        </w:rPr>
        <w:t>חוק לתיקון ולהארכת תוקפן של תקנות שעת חירום (יהודה והשומרון – שיפוט בעבירות ועזרה משפטית), התשס"ז-2007)</w:t>
      </w:r>
      <w:r w:rsidRPr="00643EF4">
        <w:rPr>
          <w:rFonts w:ascii="FrankRuehl" w:hAnsi="FrankRuehl"/>
          <w:sz w:val="28"/>
          <w:rtl/>
        </w:rPr>
        <w:t xml:space="preserve">; </w:t>
      </w:r>
      <w:r w:rsidRPr="00643EF4">
        <w:rPr>
          <w:rFonts w:ascii="FrankRuehl" w:hAnsi="FrankRuehl" w:hint="cs"/>
          <w:sz w:val="28"/>
          <w:rtl/>
        </w:rPr>
        <w:t xml:space="preserve">עוד </w:t>
      </w:r>
      <w:r w:rsidRPr="00643EF4">
        <w:rPr>
          <w:rFonts w:ascii="FrankRuehl" w:hAnsi="FrankRuehl"/>
          <w:sz w:val="28"/>
          <w:rtl/>
        </w:rPr>
        <w:t>ראו</w:t>
      </w:r>
      <w:r w:rsidRPr="00643EF4">
        <w:rPr>
          <w:rFonts w:ascii="FrankRuehl" w:hAnsi="FrankRuehl" w:hint="cs"/>
          <w:sz w:val="28"/>
          <w:rtl/>
        </w:rPr>
        <w:t>:</w:t>
      </w:r>
      <w:r w:rsidRPr="00643EF4">
        <w:rPr>
          <w:rFonts w:ascii="FrankRuehl" w:hAnsi="FrankRuehl"/>
          <w:sz w:val="28"/>
          <w:rtl/>
        </w:rPr>
        <w:t xml:space="preserve"> </w:t>
      </w:r>
      <w:r w:rsidRPr="00643EF4">
        <w:rPr>
          <w:rFonts w:ascii="Century" w:hAnsi="Century" w:cs="Miriam"/>
          <w:b/>
          <w:spacing w:val="0"/>
          <w:sz w:val="22"/>
          <w:szCs w:val="24"/>
          <w:rtl/>
        </w:rPr>
        <w:t>רובינשטיין</w:t>
      </w:r>
      <w:r w:rsidRPr="00643EF4">
        <w:rPr>
          <w:rFonts w:ascii="FrankRuehl" w:hAnsi="FrankRuehl"/>
          <w:sz w:val="28"/>
          <w:rtl/>
        </w:rPr>
        <w:t xml:space="preserve">, בעמ' 450-448; </w:t>
      </w:r>
      <w:r w:rsidRPr="00643EF4">
        <w:rPr>
          <w:rFonts w:ascii="Century" w:hAnsi="Century"/>
          <w:sz w:val="22"/>
          <w:rtl/>
        </w:rPr>
        <w:t>משה דרורי</w:t>
      </w:r>
      <w:r w:rsidRPr="00643EF4">
        <w:rPr>
          <w:rFonts w:ascii="Century" w:hAnsi="Century" w:cs="Miriam"/>
          <w:b/>
          <w:spacing w:val="0"/>
          <w:sz w:val="22"/>
          <w:szCs w:val="24"/>
          <w:rtl/>
        </w:rPr>
        <w:t xml:space="preserve"> </w:t>
      </w:r>
      <w:r w:rsidRPr="00643EF4">
        <w:rPr>
          <w:rFonts w:ascii="Century" w:hAnsi="Century" w:hint="cs"/>
          <w:sz w:val="22"/>
          <w:rtl/>
        </w:rPr>
        <w:t>"</w:t>
      </w:r>
      <w:r w:rsidRPr="00643EF4">
        <w:rPr>
          <w:rFonts w:ascii="Century" w:hAnsi="Century"/>
          <w:sz w:val="22"/>
          <w:rtl/>
        </w:rPr>
        <w:t>ההתיישבות הישראלית ביו"ש והמשפט הנוהג בה"</w:t>
      </w:r>
      <w:r w:rsidRPr="00643EF4">
        <w:rPr>
          <w:rFonts w:ascii="Century" w:hAnsi="Century" w:cs="Miriam"/>
          <w:b/>
          <w:spacing w:val="0"/>
          <w:sz w:val="22"/>
          <w:szCs w:val="24"/>
          <w:rtl/>
        </w:rPr>
        <w:t xml:space="preserve"> העלייה אל ההר ההתיישבות היהודית המתחדשת ביהודה ושומרון</w:t>
      </w:r>
      <w:r w:rsidRPr="00643EF4">
        <w:rPr>
          <w:rFonts w:ascii="FrankRuehl" w:hAnsi="FrankRuehl"/>
          <w:b/>
          <w:spacing w:val="0"/>
          <w:sz w:val="28"/>
          <w:rtl/>
        </w:rPr>
        <w:t xml:space="preserve"> </w:t>
      </w:r>
      <w:r w:rsidRPr="00643EF4">
        <w:rPr>
          <w:rFonts w:ascii="FrankRuehl" w:hAnsi="FrankRuehl"/>
          <w:sz w:val="28"/>
          <w:rtl/>
        </w:rPr>
        <w:t xml:space="preserve">217, 219-218 (2002); ראו עוד בג"ץ 5808/93 </w:t>
      </w:r>
      <w:r w:rsidRPr="00643EF4">
        <w:rPr>
          <w:rFonts w:ascii="Century" w:hAnsi="Century" w:cs="Miriam"/>
          <w:b/>
          <w:spacing w:val="0"/>
          <w:sz w:val="22"/>
          <w:szCs w:val="24"/>
          <w:rtl/>
        </w:rPr>
        <w:t>חברה כלכלית לירושלים בע"מ נ' מפקד כוחות צה"ל ביהודה ושומרון</w:t>
      </w:r>
      <w:r w:rsidRPr="00643EF4">
        <w:rPr>
          <w:rFonts w:ascii="FrankRuehl" w:hAnsi="FrankRuehl"/>
          <w:sz w:val="28"/>
          <w:rtl/>
        </w:rPr>
        <w:t xml:space="preserve">, פ"ד מט(1) 89, 97 (1995)), </w:t>
      </w:r>
      <w:r w:rsidR="007B6409" w:rsidRPr="00643EF4">
        <w:rPr>
          <w:rFonts w:ascii="FrankRuehl" w:hAnsi="FrankRuehl" w:hint="cs"/>
          <w:sz w:val="28"/>
          <w:rtl/>
        </w:rPr>
        <w:t>אך</w:t>
      </w:r>
      <w:r w:rsidR="007B6409" w:rsidRPr="00643EF4">
        <w:rPr>
          <w:rFonts w:ascii="FrankRuehl" w:hAnsi="FrankRuehl"/>
          <w:sz w:val="28"/>
          <w:rtl/>
        </w:rPr>
        <w:t xml:space="preserve"> </w:t>
      </w:r>
      <w:r w:rsidRPr="00643EF4">
        <w:rPr>
          <w:rFonts w:ascii="FrankRuehl" w:hAnsi="FrankRuehl"/>
          <w:sz w:val="28"/>
          <w:rtl/>
        </w:rPr>
        <w:t>חקיקה זו – בשונה מחוק ההסדרה שלפנינו – נועדה בעיקרה ליצור האחדה בדין החל על ישראלים בשטחי האזור ובשטחי ישראל</w:t>
      </w:r>
      <w:r w:rsidR="004E3EB8" w:rsidRPr="00643EF4">
        <w:rPr>
          <w:rFonts w:ascii="FrankRuehl" w:hAnsi="FrankRuehl" w:hint="cs"/>
          <w:sz w:val="28"/>
          <w:rtl/>
        </w:rPr>
        <w:t>,</w:t>
      </w:r>
      <w:r w:rsidRPr="00643EF4">
        <w:rPr>
          <w:rFonts w:ascii="FrankRuehl" w:hAnsi="FrankRuehl"/>
          <w:sz w:val="28"/>
          <w:rtl/>
        </w:rPr>
        <w:t xml:space="preserve"> ולאפשר למדינה לאכוף את שלטונה וחוקיה על אזרחיה תושבי האזור (ראו עוד </w:t>
      </w:r>
      <w:r w:rsidRPr="00643EF4">
        <w:rPr>
          <w:rFonts w:ascii="Century" w:hAnsi="Century" w:cs="Miriam"/>
          <w:b/>
          <w:spacing w:val="0"/>
          <w:sz w:val="22"/>
          <w:szCs w:val="24"/>
          <w:rtl/>
        </w:rPr>
        <w:t>התפרקותה של פרדיגמת הכיבוש בשטחים</w:t>
      </w:r>
      <w:r w:rsidRPr="00643EF4">
        <w:rPr>
          <w:rFonts w:ascii="FrankRuehl" w:hAnsi="FrankRuehl"/>
          <w:sz w:val="28"/>
          <w:rtl/>
        </w:rPr>
        <w:t xml:space="preserve">, בעמ' 25-24). </w:t>
      </w:r>
      <w:r w:rsidRPr="00643EF4">
        <w:rPr>
          <w:rFonts w:ascii="FrankRuehl" w:hAnsi="FrankRuehl" w:hint="cs"/>
          <w:sz w:val="28"/>
          <w:rtl/>
        </w:rPr>
        <w:t xml:space="preserve">חוק ההסדרה לעומת זאת, מטרתו שונה. הוא לא נועד לקדם תכליות של האחדת הדין על אזרחים ישראלים ואף לא לייעל את אכיפתו. החוק נועד להסדיר ולהכשיר בדיעבד בנייה בלתי חוקית שבוצעה בישובים ישראלים באזור, וכפי </w:t>
      </w:r>
      <w:r w:rsidRPr="00643EF4">
        <w:rPr>
          <w:rFonts w:ascii="FrankRuehl" w:hAnsi="FrankRuehl" w:hint="cs"/>
          <w:sz w:val="28"/>
          <w:rtl/>
        </w:rPr>
        <w:lastRenderedPageBreak/>
        <w:t xml:space="preserve">שיבואר להלן הסדרה זו יש לה השלכות פוגעניות מרחיקות לכת על זכויות מהותיות של הפלסטינים באזור. זאת, הגם </w:t>
      </w:r>
      <w:r w:rsidRPr="00643EF4">
        <w:rPr>
          <w:rFonts w:ascii="FrankRuehl" w:hAnsi="FrankRuehl"/>
          <w:sz w:val="28"/>
          <w:rtl/>
        </w:rPr>
        <w:t>–</w:t>
      </w:r>
      <w:r w:rsidRPr="00643EF4">
        <w:rPr>
          <w:rFonts w:ascii="FrankRuehl" w:hAnsi="FrankRuehl" w:hint="cs"/>
          <w:sz w:val="28"/>
          <w:rtl/>
        </w:rPr>
        <w:t xml:space="preserve"> שכאמור מעלה </w:t>
      </w:r>
      <w:r w:rsidRPr="00643EF4">
        <w:rPr>
          <w:rFonts w:ascii="FrankRuehl" w:hAnsi="FrankRuehl"/>
          <w:sz w:val="28"/>
          <w:rtl/>
        </w:rPr>
        <w:t>–</w:t>
      </w:r>
      <w:r w:rsidRPr="00643EF4">
        <w:rPr>
          <w:rFonts w:ascii="FrankRuehl" w:hAnsi="FrankRuehl" w:hint="cs"/>
          <w:sz w:val="28"/>
          <w:rtl/>
        </w:rPr>
        <w:t xml:space="preserve"> המשפט, השיפוט והמינהל הישראלי אינם חלים בשטחים אלה ולתושבי האזור הפלסטינים אין מעמד בישראל. הקושי בהחלה האקסטרה-טריטוריאלית של חוק ההסדרה מתעצם לנוכח התפיסה הנורמטיבית שעליה עמדנו, לפיה המסגרת המשפטית שחלה בשטחי האזור היא זו הקבועה בדיני התפיסה הלוחמתית ובהתאם לאמור במנשר מס' 2, הנורמה הבסיסית החלה באזור היא שסמכות החקיקה נתונה למפקד הצבאי. כזכור, קבע המפקד הצבאי בסעיף 3(א) למנשר הנ"ל כי </w:t>
      </w:r>
      <w:r w:rsidRPr="00643EF4">
        <w:rPr>
          <w:rStyle w:val="default"/>
          <w:rFonts w:ascii="FrankRuehl" w:hAnsi="FrankRuehl" w:hint="cs"/>
          <w:sz w:val="28"/>
          <w:rtl/>
        </w:rPr>
        <w:t xml:space="preserve">כל סמכויות החקיקה לגבי האזור או תושביו נתונות בידיו ויופעלו על ידו או על ידי מי מטעמו בלבד </w:t>
      </w:r>
      <w:r w:rsidRPr="00643EF4">
        <w:rPr>
          <w:rFonts w:ascii="FrankRuehl" w:hAnsi="FrankRuehl" w:hint="cs"/>
          <w:sz w:val="28"/>
          <w:rtl/>
        </w:rPr>
        <w:t>(</w:t>
      </w:r>
      <w:r w:rsidRPr="00643EF4">
        <w:rPr>
          <w:rFonts w:hint="cs"/>
          <w:rtl/>
        </w:rPr>
        <w:t xml:space="preserve">יעל רונן </w:t>
      </w:r>
      <w:r w:rsidRPr="00643EF4">
        <w:rPr>
          <w:rFonts w:ascii="Century" w:hAnsi="Century" w:hint="cs"/>
          <w:sz w:val="22"/>
          <w:rtl/>
        </w:rPr>
        <w:t xml:space="preserve">"תחולתו של חוק יסוד: כבוד האדם וחירותו בגדה המערבית" </w:t>
      </w:r>
      <w:r w:rsidRPr="00643EF4">
        <w:rPr>
          <w:rFonts w:ascii="Century" w:hAnsi="Century" w:cs="Miriam" w:hint="cs"/>
          <w:b/>
          <w:spacing w:val="0"/>
          <w:sz w:val="22"/>
          <w:szCs w:val="24"/>
          <w:rtl/>
        </w:rPr>
        <w:t>שערי משפט</w:t>
      </w:r>
      <w:r w:rsidRPr="00643EF4">
        <w:rPr>
          <w:rFonts w:ascii="Century" w:hAnsi="Century" w:hint="cs"/>
          <w:sz w:val="22"/>
          <w:rtl/>
        </w:rPr>
        <w:t xml:space="preserve"> ז 149, 162 (2014))</w:t>
      </w:r>
      <w:r w:rsidRPr="00643EF4">
        <w:rPr>
          <w:rFonts w:ascii="FrankRuehl" w:hAnsi="FrankRuehl" w:hint="cs"/>
          <w:sz w:val="28"/>
          <w:rtl/>
        </w:rPr>
        <w:t xml:space="preserve">. המפקד הצבאי הוא אמנם אורגן מינהלי הפועל כחלק מהרשות המבצעת והוא נתון למרות הממשלה (ראו </w:t>
      </w:r>
      <w:r w:rsidRPr="00643EF4">
        <w:rPr>
          <w:rFonts w:ascii="Century" w:hAnsi="Century" w:hint="cs"/>
          <w:sz w:val="22"/>
          <w:rtl/>
        </w:rPr>
        <w:t>סעיף 2(א) לחוק-יסוד: הצבא</w:t>
      </w:r>
      <w:r w:rsidRPr="00643EF4">
        <w:rPr>
          <w:rFonts w:ascii="FrankRuehl" w:hAnsi="FrankRuehl" w:hint="cs"/>
          <w:sz w:val="28"/>
          <w:rtl/>
        </w:rPr>
        <w:t xml:space="preserve">), הפועלת מכוח אמון הכנסת (ראו </w:t>
      </w:r>
      <w:r w:rsidRPr="00643EF4">
        <w:rPr>
          <w:rFonts w:ascii="Century" w:hAnsi="Century" w:hint="cs"/>
          <w:sz w:val="22"/>
          <w:rtl/>
        </w:rPr>
        <w:t>סעיף 3 לחוק-יסוד: הממשלה</w:t>
      </w:r>
      <w:r w:rsidRPr="00643EF4">
        <w:rPr>
          <w:rFonts w:ascii="FrankRuehl" w:hAnsi="FrankRuehl" w:hint="cs"/>
          <w:sz w:val="28"/>
          <w:rtl/>
        </w:rPr>
        <w:t xml:space="preserve">). </w:t>
      </w:r>
      <w:r w:rsidRPr="00643EF4">
        <w:rPr>
          <w:rFonts w:ascii="FrankRuehl" w:hAnsi="FrankRuehl"/>
          <w:sz w:val="28"/>
          <w:rtl/>
        </w:rPr>
        <w:t xml:space="preserve">אך בהינתן </w:t>
      </w:r>
      <w:r w:rsidRPr="00643EF4">
        <w:rPr>
          <w:rFonts w:ascii="FrankRuehl" w:hAnsi="FrankRuehl" w:hint="cs"/>
          <w:sz w:val="28"/>
          <w:rtl/>
        </w:rPr>
        <w:t>הגישה של</w:t>
      </w:r>
      <w:r w:rsidRPr="00643EF4">
        <w:rPr>
          <w:rFonts w:ascii="FrankRuehl" w:hAnsi="FrankRuehl"/>
          <w:sz w:val="28"/>
          <w:rtl/>
        </w:rPr>
        <w:t xml:space="preserve"> ממשלות ישראל לדורותיהן ולאורך עשרות שנים כי המפקד הצבאי הוא בעל סמכות החקיקה באזור, קיים קושי רב </w:t>
      </w:r>
      <w:r w:rsidRPr="00643EF4">
        <w:rPr>
          <w:rFonts w:ascii="FrankRuehl" w:hAnsi="FrankRuehl" w:hint="cs"/>
          <w:sz w:val="28"/>
          <w:rtl/>
        </w:rPr>
        <w:t>לשנות</w:t>
      </w:r>
      <w:r w:rsidRPr="00643EF4">
        <w:rPr>
          <w:rFonts w:ascii="FrankRuehl" w:hAnsi="FrankRuehl"/>
          <w:sz w:val="28"/>
          <w:rtl/>
        </w:rPr>
        <w:t xml:space="preserve"> </w:t>
      </w:r>
      <w:r w:rsidRPr="00643EF4">
        <w:rPr>
          <w:rFonts w:ascii="FrankRuehl" w:hAnsi="FrankRuehl" w:hint="cs"/>
          <w:sz w:val="28"/>
          <w:rtl/>
        </w:rPr>
        <w:t xml:space="preserve">את </w:t>
      </w:r>
      <w:r w:rsidRPr="00643EF4">
        <w:rPr>
          <w:rFonts w:ascii="FrankRuehl" w:hAnsi="FrankRuehl"/>
          <w:sz w:val="28"/>
          <w:rtl/>
        </w:rPr>
        <w:t xml:space="preserve">נורמת הבסיס הנוהגת באשר לזהות הגורם המוסמך לחוקק באזור בעקיפין </w:t>
      </w:r>
      <w:r w:rsidRPr="00643EF4">
        <w:rPr>
          <w:rFonts w:ascii="FrankRuehl" w:hAnsi="FrankRuehl" w:hint="cs"/>
          <w:sz w:val="28"/>
          <w:rtl/>
        </w:rPr>
        <w:t>ו</w:t>
      </w:r>
      <w:r w:rsidRPr="00643EF4">
        <w:rPr>
          <w:rFonts w:ascii="FrankRuehl" w:hAnsi="FrankRuehl"/>
          <w:sz w:val="28"/>
          <w:rtl/>
        </w:rPr>
        <w:t>בדרך של קביעת הסדרים פרטניים. בנסיבות אלה, סוגיית סמכותה של הכנסת לחוקק חוקים אשר להם תחולה ישירה באזור</w:t>
      </w:r>
      <w:r w:rsidR="00C446D3" w:rsidRPr="00643EF4">
        <w:rPr>
          <w:rFonts w:ascii="FrankRuehl" w:hAnsi="FrankRuehl" w:hint="cs"/>
          <w:sz w:val="28"/>
          <w:rtl/>
        </w:rPr>
        <w:t>, כמו גם שאלת כפיפותה של הכנסת בחקיקה מעין זו לכללי המשפט הבינלאומי החלים בשטח הנתון בתפיסה לוחמתית,</w:t>
      </w:r>
      <w:r w:rsidRPr="00643EF4">
        <w:rPr>
          <w:rFonts w:ascii="FrankRuehl" w:hAnsi="FrankRuehl"/>
          <w:sz w:val="28"/>
          <w:rtl/>
        </w:rPr>
        <w:t xml:space="preserve"> מעורר</w:t>
      </w:r>
      <w:r w:rsidR="00C446D3" w:rsidRPr="00643EF4">
        <w:rPr>
          <w:rFonts w:ascii="FrankRuehl" w:hAnsi="FrankRuehl" w:hint="cs"/>
          <w:sz w:val="28"/>
          <w:rtl/>
        </w:rPr>
        <w:t>ו</w:t>
      </w:r>
      <w:r w:rsidR="00C446D3" w:rsidRPr="00643EF4">
        <w:rPr>
          <w:rFonts w:ascii="FrankRuehl" w:hAnsi="FrankRuehl"/>
          <w:sz w:val="28"/>
          <w:rtl/>
        </w:rPr>
        <w:t>ת קשיים לא מבוטלים ואינ</w:t>
      </w:r>
      <w:r w:rsidR="00C446D3" w:rsidRPr="00643EF4">
        <w:rPr>
          <w:rFonts w:ascii="FrankRuehl" w:hAnsi="FrankRuehl" w:hint="cs"/>
          <w:sz w:val="28"/>
          <w:rtl/>
        </w:rPr>
        <w:t>ן</w:t>
      </w:r>
      <w:r w:rsidR="00C446D3" w:rsidRPr="00643EF4">
        <w:rPr>
          <w:rFonts w:ascii="FrankRuehl" w:hAnsi="FrankRuehl"/>
          <w:sz w:val="28"/>
          <w:rtl/>
        </w:rPr>
        <w:t xml:space="preserve"> נקי</w:t>
      </w:r>
      <w:r w:rsidR="00C446D3" w:rsidRPr="00643EF4">
        <w:rPr>
          <w:rFonts w:ascii="FrankRuehl" w:hAnsi="FrankRuehl" w:hint="cs"/>
          <w:sz w:val="28"/>
          <w:rtl/>
        </w:rPr>
        <w:t>ות</w:t>
      </w:r>
      <w:r w:rsidRPr="00643EF4">
        <w:rPr>
          <w:rFonts w:ascii="FrankRuehl" w:hAnsi="FrankRuehl"/>
          <w:sz w:val="28"/>
          <w:rtl/>
        </w:rPr>
        <w:t xml:space="preserve"> מספקות. </w:t>
      </w:r>
    </w:p>
    <w:p w14:paraId="03E025ED" w14:textId="77777777" w:rsidR="000E5D20" w:rsidRPr="00643EF4" w:rsidRDefault="000E5D20" w:rsidP="000E5D20">
      <w:pPr>
        <w:pStyle w:val="Ruller41"/>
      </w:pPr>
    </w:p>
    <w:p w14:paraId="491BAC52" w14:textId="77777777" w:rsidR="000E5D20" w:rsidRPr="00643EF4" w:rsidRDefault="000E5D20" w:rsidP="000E5D20">
      <w:pPr>
        <w:pStyle w:val="Ruller4"/>
        <w:numPr>
          <w:ilvl w:val="0"/>
          <w:numId w:val="0"/>
        </w:numPr>
        <w:rPr>
          <w:rFonts w:ascii="FrankRuehl" w:hAnsi="FrankRuehl"/>
          <w:sz w:val="28"/>
          <w:rtl/>
        </w:rPr>
      </w:pPr>
      <w:r w:rsidRPr="00643EF4">
        <w:rPr>
          <w:rFonts w:ascii="FrankRuehl" w:hAnsi="FrankRuehl"/>
          <w:sz w:val="28"/>
          <w:rtl/>
        </w:rPr>
        <w:tab/>
      </w:r>
      <w:r w:rsidRPr="00643EF4">
        <w:rPr>
          <w:rFonts w:ascii="FrankRuehl" w:hAnsi="FrankRuehl" w:hint="cs"/>
          <w:sz w:val="28"/>
          <w:rtl/>
        </w:rPr>
        <w:t xml:space="preserve">בענייננו </w:t>
      </w:r>
      <w:r w:rsidRPr="00643EF4">
        <w:rPr>
          <w:rFonts w:ascii="FrankRuehl" w:hAnsi="FrankRuehl"/>
          <w:sz w:val="28"/>
          <w:rtl/>
        </w:rPr>
        <w:t>עם זאת, הביעו למעשה כל הצדדים, במידה כזו או אחרת, את העמדה לפיה ניתן לקיים את הדיון בעתירות מתוך הנחה שחוק ההסדרה כפוף לעקרונות החוקתיים ש</w:t>
      </w:r>
      <w:r w:rsidRPr="00643EF4">
        <w:rPr>
          <w:rFonts w:ascii="FrankRuehl" w:hAnsi="FrankRuehl"/>
          <w:b/>
          <w:sz w:val="28"/>
          <w:rtl/>
        </w:rPr>
        <w:t>בחוק</w:t>
      </w:r>
      <w:r w:rsidRPr="00643EF4">
        <w:rPr>
          <w:rFonts w:ascii="FrankRuehl" w:hAnsi="FrankRuehl" w:hint="cs"/>
          <w:b/>
          <w:sz w:val="28"/>
          <w:rtl/>
        </w:rPr>
        <w:t>-</w:t>
      </w:r>
      <w:r w:rsidRPr="00643EF4">
        <w:rPr>
          <w:rFonts w:ascii="FrankRuehl" w:hAnsi="FrankRuehl"/>
          <w:b/>
          <w:sz w:val="28"/>
          <w:rtl/>
        </w:rPr>
        <w:t>יסוד: כבוד האדם וחירותו</w:t>
      </w:r>
      <w:r w:rsidRPr="00643EF4">
        <w:rPr>
          <w:rFonts w:ascii="FrankRuehl" w:hAnsi="FrankRuehl"/>
          <w:sz w:val="28"/>
          <w:rtl/>
        </w:rPr>
        <w:t xml:space="preserve"> (ראו סעיפים 79 ו-81 לתגובת הממשלה; סעיפים 104-99 לתגובת היועץ המשפטי לממשלה; פרוטוקול הדיון, בעמ' 47, שורה 30 לעמדת מועצת מטה בנימין). עמדה זו נובעת בהכרח מן הגישה </w:t>
      </w:r>
      <w:r w:rsidRPr="00643EF4">
        <w:rPr>
          <w:rFonts w:ascii="FrankRuehl" w:hAnsi="FrankRuehl" w:hint="cs"/>
          <w:sz w:val="28"/>
          <w:rtl/>
        </w:rPr>
        <w:t>התומכת ב</w:t>
      </w:r>
      <w:r w:rsidRPr="00643EF4">
        <w:rPr>
          <w:rFonts w:ascii="FrankRuehl" w:hAnsi="FrankRuehl"/>
          <w:sz w:val="28"/>
          <w:rtl/>
        </w:rPr>
        <w:t xml:space="preserve">סמכותה של הכנסת לחוקק את חוק ההסדרה מלכתחילה. ממה נפשך: </w:t>
      </w:r>
      <w:r w:rsidRPr="00643EF4">
        <w:rPr>
          <w:rFonts w:ascii="FrankRuehl" w:hAnsi="FrankRuehl" w:hint="cs"/>
          <w:sz w:val="28"/>
          <w:rtl/>
        </w:rPr>
        <w:t xml:space="preserve">מחד גיסא, </w:t>
      </w:r>
      <w:r w:rsidRPr="00643EF4">
        <w:rPr>
          <w:rFonts w:ascii="FrankRuehl" w:hAnsi="FrankRuehl"/>
          <w:sz w:val="28"/>
          <w:rtl/>
        </w:rPr>
        <w:t xml:space="preserve">ככל שהכנסת נטולת סמכות לחוקק את חוק ההסדרה דינו להתבטל מטעם זה בלבד, והדיון בעילת חוקתיותו של החוק – מתייתר. </w:t>
      </w:r>
      <w:r w:rsidRPr="00643EF4">
        <w:rPr>
          <w:rFonts w:ascii="FrankRuehl" w:hAnsi="FrankRuehl" w:hint="cs"/>
          <w:sz w:val="28"/>
          <w:rtl/>
        </w:rPr>
        <w:t xml:space="preserve">מאידך גיסא, ככל שלכנסת קיימת סמכות לחוקק את חוק ההסדרה קשה להלום כי רשויות השלטון, והכנסת בכללן, תוכלנה לפעול בשטחי האזור כשהן משוחררות מערכי היסוד המיועדים להגנה על זכויות אדם, כל אדם, ומן הבלמים והאיזונים הקבועים בהקשר זה בחוקי היסוד. לשון אחר, </w:t>
      </w:r>
      <w:r w:rsidRPr="00643EF4">
        <w:rPr>
          <w:rFonts w:ascii="FrankRuehl" w:hAnsi="FrankRuehl"/>
          <w:sz w:val="28"/>
          <w:rtl/>
        </w:rPr>
        <w:t xml:space="preserve">כוחה של הכנסת </w:t>
      </w:r>
      <w:r w:rsidRPr="00643EF4">
        <w:rPr>
          <w:rFonts w:ascii="FrankRuehl" w:hAnsi="FrankRuehl" w:hint="cs"/>
          <w:sz w:val="28"/>
          <w:rtl/>
        </w:rPr>
        <w:t xml:space="preserve">לחוקק </w:t>
      </w:r>
      <w:r w:rsidRPr="00643EF4">
        <w:rPr>
          <w:rFonts w:ascii="FrankRuehl" w:hAnsi="FrankRuehl"/>
          <w:sz w:val="28"/>
          <w:rtl/>
        </w:rPr>
        <w:t>מותווה ומוגבל על-ידי חוק</w:t>
      </w:r>
      <w:r w:rsidRPr="00643EF4">
        <w:rPr>
          <w:rFonts w:ascii="FrankRuehl" w:hAnsi="FrankRuehl" w:hint="cs"/>
          <w:sz w:val="28"/>
          <w:rtl/>
        </w:rPr>
        <w:t>י</w:t>
      </w:r>
      <w:r w:rsidRPr="00643EF4">
        <w:rPr>
          <w:rFonts w:ascii="FrankRuehl" w:hAnsi="FrankRuehl"/>
          <w:sz w:val="28"/>
          <w:rtl/>
        </w:rPr>
        <w:t xml:space="preserve"> היסוד</w:t>
      </w:r>
      <w:r w:rsidRPr="00643EF4">
        <w:rPr>
          <w:rFonts w:ascii="FrankRuehl" w:hAnsi="FrankRuehl" w:hint="cs"/>
          <w:sz w:val="28"/>
          <w:rtl/>
        </w:rPr>
        <w:t xml:space="preserve"> (ראו גם פסקה 187 לתגובת הממשלה)</w:t>
      </w:r>
      <w:r w:rsidRPr="00643EF4">
        <w:rPr>
          <w:rFonts w:ascii="FrankRuehl" w:hAnsi="FrankRuehl"/>
          <w:sz w:val="28"/>
          <w:rtl/>
        </w:rPr>
        <w:t xml:space="preserve">. </w:t>
      </w:r>
      <w:r w:rsidRPr="00643EF4">
        <w:rPr>
          <w:rFonts w:ascii="FrankRuehl" w:hAnsi="FrankRuehl" w:hint="cs"/>
          <w:sz w:val="28"/>
          <w:rtl/>
        </w:rPr>
        <w:t xml:space="preserve">החוקה </w:t>
      </w:r>
      <w:r w:rsidRPr="00643EF4">
        <w:rPr>
          <w:rFonts w:ascii="FrankRuehl" w:hAnsi="FrankRuehl"/>
          <w:sz w:val="28"/>
          <w:rtl/>
        </w:rPr>
        <w:t>–</w:t>
      </w:r>
      <w:r w:rsidRPr="00643EF4">
        <w:rPr>
          <w:rFonts w:ascii="FrankRuehl" w:hAnsi="FrankRuehl" w:hint="cs"/>
          <w:sz w:val="28"/>
          <w:rtl/>
        </w:rPr>
        <w:t xml:space="preserve"> אותה נורמה חוקתית-על-חוקית </w:t>
      </w:r>
      <w:r w:rsidRPr="00643EF4">
        <w:rPr>
          <w:rFonts w:ascii="FrankRuehl" w:hAnsi="FrankRuehl"/>
          <w:sz w:val="28"/>
          <w:rtl/>
        </w:rPr>
        <w:t>–</w:t>
      </w:r>
      <w:r w:rsidRPr="00643EF4">
        <w:rPr>
          <w:rFonts w:ascii="FrankRuehl" w:hAnsi="FrankRuehl" w:hint="cs"/>
          <w:sz w:val="28"/>
          <w:rtl/>
        </w:rPr>
        <w:t xml:space="preserve"> מטילה על המחוקק חובה לחוקק חוקים העולים בקנה אחד עם עקרונות שלטון החוק הפורמלי והמהותי, ובכלל זה שלא לפגוע בזכויות אדם בלא שאפשר להצדיק פגיעה זו באיזון שבין זכותו של הפרט וצרכי הכלל (ראו אהרון ברק </w:t>
      </w:r>
      <w:r w:rsidRPr="00643EF4">
        <w:rPr>
          <w:rFonts w:ascii="Century" w:hAnsi="Century" w:hint="cs"/>
          <w:sz w:val="22"/>
          <w:rtl/>
        </w:rPr>
        <w:t>"</w:t>
      </w:r>
      <w:r w:rsidRPr="00643EF4">
        <w:rPr>
          <w:rFonts w:ascii="Century" w:hAnsi="Century" w:hint="eastAsia"/>
          <w:sz w:val="22"/>
          <w:rtl/>
        </w:rPr>
        <w:t>שלטון</w:t>
      </w:r>
      <w:r w:rsidRPr="00643EF4">
        <w:rPr>
          <w:rFonts w:ascii="Century" w:hAnsi="Century"/>
          <w:sz w:val="22"/>
          <w:rtl/>
        </w:rPr>
        <w:t xml:space="preserve"> </w:t>
      </w:r>
      <w:r w:rsidRPr="00643EF4">
        <w:rPr>
          <w:rFonts w:ascii="Century" w:hAnsi="Century" w:hint="eastAsia"/>
          <w:sz w:val="22"/>
          <w:rtl/>
        </w:rPr>
        <w:t>החוק</w:t>
      </w:r>
      <w:r w:rsidRPr="00643EF4">
        <w:rPr>
          <w:rFonts w:ascii="Century" w:hAnsi="Century"/>
          <w:sz w:val="22"/>
          <w:rtl/>
        </w:rPr>
        <w:t xml:space="preserve"> </w:t>
      </w:r>
      <w:r w:rsidRPr="00643EF4">
        <w:rPr>
          <w:rFonts w:ascii="Century" w:hAnsi="Century" w:hint="eastAsia"/>
          <w:sz w:val="22"/>
          <w:rtl/>
        </w:rPr>
        <w:t>ועליונות</w:t>
      </w:r>
      <w:r w:rsidRPr="00643EF4">
        <w:rPr>
          <w:rFonts w:ascii="Century" w:hAnsi="Century"/>
          <w:sz w:val="22"/>
          <w:rtl/>
        </w:rPr>
        <w:t xml:space="preserve"> </w:t>
      </w:r>
      <w:r w:rsidRPr="00643EF4">
        <w:rPr>
          <w:rFonts w:ascii="Century" w:hAnsi="Century" w:hint="eastAsia"/>
          <w:sz w:val="22"/>
          <w:rtl/>
        </w:rPr>
        <w:t>החוקה</w:t>
      </w:r>
      <w:r w:rsidRPr="00643EF4">
        <w:rPr>
          <w:rFonts w:ascii="Century" w:hAnsi="Century" w:hint="cs"/>
          <w:sz w:val="22"/>
          <w:rtl/>
        </w:rPr>
        <w:t>"</w:t>
      </w:r>
      <w:r w:rsidRPr="00643EF4">
        <w:rPr>
          <w:rFonts w:ascii="FrankRuehl" w:hAnsi="FrankRuehl" w:hint="cs"/>
          <w:sz w:val="28"/>
          <w:rtl/>
        </w:rPr>
        <w:t xml:space="preserve"> </w:t>
      </w:r>
      <w:r w:rsidRPr="00643EF4">
        <w:rPr>
          <w:rFonts w:ascii="Century" w:hAnsi="Century" w:cs="Miriam" w:hint="cs"/>
          <w:b/>
          <w:spacing w:val="0"/>
          <w:sz w:val="22"/>
          <w:szCs w:val="24"/>
          <w:rtl/>
        </w:rPr>
        <w:t>משפט וממשל</w:t>
      </w:r>
      <w:r w:rsidRPr="00643EF4">
        <w:rPr>
          <w:rFonts w:ascii="FrankRuehl" w:hAnsi="FrankRuehl" w:hint="cs"/>
          <w:sz w:val="28"/>
          <w:rtl/>
        </w:rPr>
        <w:t xml:space="preserve"> ה 375, 395 (תש"ס))</w:t>
      </w:r>
      <w:r w:rsidRPr="00643EF4">
        <w:rPr>
          <w:rFonts w:ascii="FrankRuehl" w:hAnsi="FrankRuehl"/>
          <w:sz w:val="28"/>
          <w:rtl/>
        </w:rPr>
        <w:t>.</w:t>
      </w:r>
      <w:r w:rsidRPr="00643EF4">
        <w:rPr>
          <w:rFonts w:ascii="FrankRuehl" w:hAnsi="FrankRuehl" w:hint="cs"/>
          <w:sz w:val="28"/>
          <w:rtl/>
        </w:rPr>
        <w:t xml:space="preserve"> </w:t>
      </w:r>
    </w:p>
    <w:p w14:paraId="45AE9A9C" w14:textId="77777777" w:rsidR="000E5D20" w:rsidRPr="00643EF4" w:rsidRDefault="000E5D20" w:rsidP="000E5D20">
      <w:pPr>
        <w:pStyle w:val="Ruller41"/>
        <w:rPr>
          <w:rtl/>
        </w:rPr>
      </w:pPr>
    </w:p>
    <w:p w14:paraId="566E1DD3" w14:textId="1E493F0B" w:rsidR="000E5D20" w:rsidRPr="00643EF4" w:rsidRDefault="000E5D20" w:rsidP="00373DA8">
      <w:pPr>
        <w:pStyle w:val="Ruller4"/>
        <w:rPr>
          <w:rtl/>
        </w:rPr>
      </w:pPr>
      <w:r w:rsidRPr="00643EF4">
        <w:rPr>
          <w:rtl/>
        </w:rPr>
        <w:lastRenderedPageBreak/>
        <w:tab/>
      </w:r>
      <w:r w:rsidRPr="00643EF4">
        <w:rPr>
          <w:rFonts w:hint="cs"/>
          <w:rtl/>
        </w:rPr>
        <w:t xml:space="preserve">לצורך </w:t>
      </w:r>
      <w:r w:rsidRPr="00643EF4">
        <w:rPr>
          <w:rtl/>
        </w:rPr>
        <w:t xml:space="preserve">המשך הדיון </w:t>
      </w:r>
      <w:r w:rsidRPr="00643EF4">
        <w:rPr>
          <w:rFonts w:hint="cs"/>
          <w:rtl/>
        </w:rPr>
        <w:t xml:space="preserve">אצא, איפוא, </w:t>
      </w:r>
      <w:r w:rsidRPr="00643EF4">
        <w:rPr>
          <w:rtl/>
        </w:rPr>
        <w:t>מנקודת מוצא הבוחנת את עילת החוקתיות המועלית כנגד חוק ההסדרה על פי העקרונות החוקתיים הקבועים בחוק היסוד</w:t>
      </w:r>
      <w:r w:rsidR="00373DA8" w:rsidRPr="00643EF4">
        <w:rPr>
          <w:rFonts w:hint="cs"/>
          <w:rtl/>
        </w:rPr>
        <w:t xml:space="preserve">, </w:t>
      </w:r>
      <w:r w:rsidRPr="00643EF4">
        <w:rPr>
          <w:rFonts w:hint="cs"/>
          <w:rtl/>
        </w:rPr>
        <w:t>ואת סוגיית הסמכות אותיר לעת מצוא</w:t>
      </w:r>
      <w:r w:rsidRPr="00643EF4">
        <w:rPr>
          <w:rtl/>
        </w:rPr>
        <w:t>.</w:t>
      </w:r>
      <w:r w:rsidRPr="00643EF4">
        <w:rPr>
          <w:rFonts w:hint="cs"/>
          <w:rtl/>
        </w:rPr>
        <w:t xml:space="preserve"> </w:t>
      </w:r>
      <w:r w:rsidR="00373DA8" w:rsidRPr="00643EF4">
        <w:rPr>
          <w:rFonts w:hint="cs"/>
          <w:rtl/>
        </w:rPr>
        <w:t>לכך יש להוסיף את הזכויות הנגזרות מ</w:t>
      </w:r>
      <w:r w:rsidRPr="00643EF4">
        <w:rPr>
          <w:rFonts w:hint="cs"/>
          <w:rtl/>
        </w:rPr>
        <w:t>מעמדם המיוחד של התושבים הפלסטינים באזור כ"תושבים מוגנים". המונח "תושבים מוגנים" אינו מופיע בתקנות האג, המתייחסות לחובות כלפי ה"אוכלוסייה המקומית" (</w:t>
      </w:r>
      <w:r w:rsidRPr="00643EF4">
        <w:rPr>
          <w:rFonts w:ascii="Century" w:hAnsi="Century" w:cs="Miriam" w:hint="cs"/>
          <w:b/>
          <w:spacing w:val="0"/>
          <w:sz w:val="22"/>
          <w:szCs w:val="24"/>
          <w:rtl/>
        </w:rPr>
        <w:t>דינשטיין</w:t>
      </w:r>
      <w:r w:rsidRPr="00643EF4">
        <w:rPr>
          <w:rFonts w:hint="cs"/>
          <w:rtl/>
        </w:rPr>
        <w:t xml:space="preserve">, בעמ' 60; </w:t>
      </w:r>
      <w:r w:rsidRPr="00643EF4">
        <w:rPr>
          <w:rFonts w:ascii="Century" w:hAnsi="Century" w:cs="Miriam" w:hint="cs"/>
          <w:b/>
          <w:spacing w:val="0"/>
          <w:sz w:val="22"/>
          <w:szCs w:val="24"/>
          <w:rtl/>
        </w:rPr>
        <w:t>ארליך</w:t>
      </w:r>
      <w:r w:rsidRPr="00643EF4">
        <w:rPr>
          <w:rFonts w:ascii="Century" w:hAnsi="Century" w:hint="cs"/>
          <w:sz w:val="22"/>
          <w:rtl/>
        </w:rPr>
        <w:t xml:space="preserve">, בעמ' </w:t>
      </w:r>
      <w:r w:rsidRPr="00643EF4">
        <w:rPr>
          <w:rFonts w:hint="cs"/>
          <w:rtl/>
        </w:rPr>
        <w:t>11-9</w:t>
      </w:r>
      <w:r w:rsidRPr="00643EF4">
        <w:rPr>
          <w:rFonts w:ascii="Century" w:hAnsi="Century" w:hint="cs"/>
          <w:sz w:val="22"/>
          <w:rtl/>
        </w:rPr>
        <w:t>;</w:t>
      </w:r>
      <w:r w:rsidRPr="00643EF4">
        <w:rPr>
          <w:rFonts w:hint="cs"/>
          <w:rtl/>
        </w:rPr>
        <w:t xml:space="preserve"> להרחבה ראו גם </w:t>
      </w:r>
      <w:r w:rsidRPr="00643EF4">
        <w:rPr>
          <w:rFonts w:ascii="Century" w:hAnsi="Century"/>
          <w:sz w:val="22"/>
          <w:szCs w:val="22"/>
        </w:rPr>
        <w:t xml:space="preserve">Elizabeth Salmon, </w:t>
      </w:r>
      <w:r w:rsidRPr="00643EF4">
        <w:rPr>
          <w:rFonts w:ascii="Century" w:hAnsi="Century"/>
          <w:i/>
          <w:iCs/>
          <w:sz w:val="22"/>
          <w:szCs w:val="22"/>
        </w:rPr>
        <w:t>Who is a Protected Civilian, in</w:t>
      </w:r>
      <w:r w:rsidRPr="00643EF4">
        <w:rPr>
          <w:rFonts w:ascii="Century" w:hAnsi="Century"/>
          <w:sz w:val="22"/>
          <w:szCs w:val="22"/>
        </w:rPr>
        <w:t xml:space="preserve"> </w:t>
      </w:r>
      <w:r w:rsidRPr="00643EF4">
        <w:rPr>
          <w:rFonts w:ascii="Century" w:hAnsi="Century"/>
          <w:smallCaps/>
          <w:sz w:val="22"/>
          <w:szCs w:val="22"/>
        </w:rPr>
        <w:t>The 1949 Geneva Conventions – A Commentary</w:t>
      </w:r>
      <w:r w:rsidRPr="00643EF4">
        <w:rPr>
          <w:rFonts w:ascii="Century" w:hAnsi="Century"/>
          <w:b/>
          <w:bCs/>
          <w:sz w:val="22"/>
          <w:szCs w:val="22"/>
        </w:rPr>
        <w:t xml:space="preserve"> </w:t>
      </w:r>
      <w:r w:rsidRPr="00643EF4">
        <w:rPr>
          <w:rFonts w:ascii="Century" w:hAnsi="Century"/>
          <w:sz w:val="22"/>
          <w:szCs w:val="22"/>
        </w:rPr>
        <w:t>1135, 1137 (2015)</w:t>
      </w:r>
      <w:r w:rsidRPr="00643EF4">
        <w:rPr>
          <w:rFonts w:hint="cs"/>
          <w:rtl/>
        </w:rPr>
        <w:t xml:space="preserve">). ואולם, בדונו בדיני התפיסה הלוחמתית החלים באזור ובהגנות הנתונות מכוחם לתושבים הפלסטינים המתגוררים באזור, התייחס בית משפט זה לתושבים אלה כ"תושבים מוגנים", על פי הגדרתו של מונח זה בסעיף 4 לאמנת ג'נבה הרביעית, הקובע כי: </w:t>
      </w:r>
    </w:p>
    <w:p w14:paraId="597B089C" w14:textId="77777777" w:rsidR="000E5D20" w:rsidRPr="00643EF4" w:rsidRDefault="000E5D20" w:rsidP="000E5D20">
      <w:pPr>
        <w:pStyle w:val="Ruller41"/>
      </w:pPr>
    </w:p>
    <w:p w14:paraId="60062428" w14:textId="77777777" w:rsidR="000E5D20" w:rsidRPr="00643EF4" w:rsidRDefault="000E5D20" w:rsidP="000E5D20">
      <w:pPr>
        <w:pStyle w:val="Ruller5"/>
        <w:bidi w:val="0"/>
        <w:rPr>
          <w:rFonts w:ascii="Century" w:hAnsi="Century"/>
          <w:szCs w:val="22"/>
        </w:rPr>
      </w:pPr>
      <w:r w:rsidRPr="00643EF4">
        <w:rPr>
          <w:rFonts w:ascii="Century" w:hAnsi="Century"/>
          <w:szCs w:val="22"/>
        </w:rPr>
        <w:t xml:space="preserve">"Persons protected by the Convention are those who, at a given moment and in any manner whatsoever, find themselves, in case of a conflict or occupation, in the hands of a Party to the conflict or Occupying Power of which they are not nationals […]". </w:t>
      </w:r>
    </w:p>
    <w:p w14:paraId="66A60A6A" w14:textId="77777777" w:rsidR="000E5D20" w:rsidRPr="00643EF4" w:rsidRDefault="000E5D20" w:rsidP="000E5D20">
      <w:pPr>
        <w:pStyle w:val="Ruller41"/>
        <w:rPr>
          <w:rtl/>
        </w:rPr>
      </w:pPr>
    </w:p>
    <w:p w14:paraId="0AEA7654" w14:textId="77777777" w:rsidR="000E5D20" w:rsidRPr="00643EF4" w:rsidRDefault="000E5D20" w:rsidP="000E5D20">
      <w:pPr>
        <w:pStyle w:val="Ruller4"/>
        <w:numPr>
          <w:ilvl w:val="0"/>
          <w:numId w:val="0"/>
        </w:numPr>
        <w:rPr>
          <w:rFonts w:ascii="Century" w:hAnsi="Century"/>
          <w:sz w:val="22"/>
          <w:rtl/>
        </w:rPr>
      </w:pPr>
      <w:r w:rsidRPr="00643EF4">
        <w:rPr>
          <w:rtl/>
        </w:rPr>
        <w:tab/>
      </w:r>
      <w:r w:rsidRPr="00643EF4">
        <w:rPr>
          <w:rFonts w:hint="cs"/>
          <w:rtl/>
        </w:rPr>
        <w:t xml:space="preserve">כמו כן ראה בית המשפט בסעיף 27 לאמנת ג'נבה הרביעית </w:t>
      </w:r>
      <w:r w:rsidRPr="00643EF4">
        <w:rPr>
          <w:rtl/>
        </w:rPr>
        <w:t>–</w:t>
      </w:r>
      <w:r w:rsidRPr="00643EF4">
        <w:rPr>
          <w:rFonts w:hint="cs"/>
          <w:rtl/>
        </w:rPr>
        <w:t xml:space="preserve"> המונה שורה של זכויות אדם הנתונות לתושבים מוגנים </w:t>
      </w:r>
      <w:r w:rsidRPr="00643EF4">
        <w:rPr>
          <w:rtl/>
        </w:rPr>
        <w:t>–</w:t>
      </w:r>
      <w:r w:rsidRPr="00643EF4">
        <w:rPr>
          <w:rFonts w:hint="cs"/>
          <w:rtl/>
        </w:rPr>
        <w:t xml:space="preserve"> מקור אשר ממנו יש לשאוב את ההגנה על זכויות אלה של תושבי האזור הפלסטינים (בג"ץ 3239/02 </w:t>
      </w:r>
      <w:r w:rsidRPr="00643EF4">
        <w:rPr>
          <w:rFonts w:ascii="Century" w:hAnsi="Century" w:cs="Miriam" w:hint="cs"/>
          <w:b/>
          <w:spacing w:val="0"/>
          <w:sz w:val="22"/>
          <w:szCs w:val="24"/>
          <w:rtl/>
        </w:rPr>
        <w:t>מרעב נ' מפקד כוחות צה"ל באזור יהודה ושומרון</w:t>
      </w:r>
      <w:r w:rsidRPr="00643EF4">
        <w:rPr>
          <w:rFonts w:ascii="Century" w:hAnsi="Century" w:hint="cs"/>
          <w:sz w:val="22"/>
          <w:rtl/>
        </w:rPr>
        <w:t>, פ"ד נז(2) 349, 365 (2003); בג"ץ 4764/04</w:t>
      </w:r>
      <w:r w:rsidRPr="00643EF4">
        <w:rPr>
          <w:rFonts w:ascii="Century" w:hAnsi="Century" w:hint="cs"/>
          <w:rtl/>
        </w:rPr>
        <w:t xml:space="preserve"> </w:t>
      </w:r>
      <w:r w:rsidRPr="00643EF4">
        <w:rPr>
          <w:rFonts w:ascii="Century" w:hAnsi="Century" w:cs="Miriam" w:hint="cs"/>
          <w:b/>
          <w:spacing w:val="0"/>
          <w:sz w:val="22"/>
          <w:szCs w:val="24"/>
          <w:rtl/>
        </w:rPr>
        <w:t>רופאים לזכויות אדם נ' מפקד כוחות צה"ל בעזה</w:t>
      </w:r>
      <w:r w:rsidRPr="00643EF4">
        <w:rPr>
          <w:rFonts w:ascii="Century" w:hAnsi="Century" w:hint="cs"/>
          <w:sz w:val="22"/>
          <w:rtl/>
        </w:rPr>
        <w:t xml:space="preserve">, פ"ד נח(5) 385, 394 (2004); עניין </w:t>
      </w:r>
      <w:r w:rsidRPr="00643EF4">
        <w:rPr>
          <w:rFonts w:ascii="Century" w:hAnsi="Century" w:cs="Miriam" w:hint="cs"/>
          <w:b/>
          <w:spacing w:val="0"/>
          <w:sz w:val="22"/>
          <w:szCs w:val="24"/>
          <w:rtl/>
        </w:rPr>
        <w:t>בית סוריק</w:t>
      </w:r>
      <w:r w:rsidRPr="00643EF4">
        <w:rPr>
          <w:rFonts w:ascii="Century" w:hAnsi="Century" w:hint="cs"/>
          <w:sz w:val="22"/>
          <w:rtl/>
        </w:rPr>
        <w:t xml:space="preserve">, </w:t>
      </w:r>
      <w:r w:rsidRPr="00643EF4">
        <w:rPr>
          <w:rFonts w:ascii="Century" w:hAnsi="Century" w:hint="eastAsia"/>
          <w:sz w:val="22"/>
          <w:rtl/>
        </w:rPr>
        <w:t>בעמ</w:t>
      </w:r>
      <w:r w:rsidRPr="00643EF4">
        <w:rPr>
          <w:rFonts w:ascii="Century" w:hAnsi="Century"/>
          <w:sz w:val="22"/>
          <w:rtl/>
        </w:rPr>
        <w:t xml:space="preserve">' </w:t>
      </w:r>
      <w:r w:rsidRPr="00643EF4">
        <w:rPr>
          <w:rFonts w:ascii="Century" w:hAnsi="Century" w:hint="cs"/>
          <w:sz w:val="22"/>
          <w:rtl/>
        </w:rPr>
        <w:t>836; עניין</w:t>
      </w:r>
      <w:r w:rsidRPr="00643EF4">
        <w:rPr>
          <w:rFonts w:hint="cs"/>
          <w:rtl/>
        </w:rPr>
        <w:t xml:space="preserve"> </w:t>
      </w:r>
      <w:r w:rsidRPr="00643EF4">
        <w:rPr>
          <w:rFonts w:ascii="Century" w:hAnsi="Century" w:cs="Miriam" w:hint="cs"/>
          <w:b/>
          <w:spacing w:val="0"/>
          <w:sz w:val="22"/>
          <w:szCs w:val="24"/>
          <w:rtl/>
        </w:rPr>
        <w:t>מראעבה</w:t>
      </w:r>
      <w:r w:rsidRPr="00643EF4">
        <w:rPr>
          <w:rFonts w:ascii="Century" w:hAnsi="Century" w:hint="cs"/>
          <w:sz w:val="22"/>
          <w:rtl/>
        </w:rPr>
        <w:t>, בעמ' 504).</w:t>
      </w:r>
    </w:p>
    <w:p w14:paraId="5FCA249E" w14:textId="77777777" w:rsidR="000E5D20" w:rsidRPr="00643EF4" w:rsidRDefault="000E5D20" w:rsidP="000E5D20">
      <w:pPr>
        <w:pStyle w:val="Ruller41"/>
        <w:rPr>
          <w:rtl/>
        </w:rPr>
      </w:pPr>
    </w:p>
    <w:p w14:paraId="68EBB2C3" w14:textId="77777777" w:rsidR="000E5D20" w:rsidRPr="00643EF4" w:rsidRDefault="000E5D20" w:rsidP="000E5D20">
      <w:pPr>
        <w:pStyle w:val="Ruller4"/>
        <w:tabs>
          <w:tab w:val="num" w:pos="10307"/>
        </w:tabs>
        <w:rPr>
          <w:rtl/>
        </w:rPr>
      </w:pPr>
      <w:r w:rsidRPr="00643EF4">
        <w:rPr>
          <w:rtl/>
        </w:rPr>
        <w:tab/>
      </w:r>
      <w:r w:rsidRPr="00643EF4">
        <w:rPr>
          <w:rFonts w:hint="cs"/>
          <w:rtl/>
        </w:rPr>
        <w:t xml:space="preserve">הנה כי כן, קיימים בענייננו מקורות נורמטיביים שמקורם במשפט הבינלאומי אשר יש להביאם בחשבון במסגרת הבחינה החוקתית. למקורות אלה, ולאופן שבו פורשו על ידי בית משפט זה לאורך השנים, השפעה על זכותם של הפלסטינים תושבי האזור לקניין ולשוויון, וכן על היקף ההגנה הניתנת לזכויותיהם אלה </w:t>
      </w:r>
      <w:r w:rsidRPr="00643EF4">
        <w:rPr>
          <w:rFonts w:hint="cs"/>
          <w:sz w:val="28"/>
          <w:rtl/>
        </w:rPr>
        <w:t xml:space="preserve">(ראו, בין רבים: </w:t>
      </w:r>
      <w:r w:rsidRPr="00643EF4">
        <w:rPr>
          <w:rFonts w:hint="cs"/>
          <w:rtl/>
        </w:rPr>
        <w:t xml:space="preserve">בג"ץ 2150/07 </w:t>
      </w:r>
      <w:r w:rsidRPr="00643EF4">
        <w:rPr>
          <w:rFonts w:cs="Miriam" w:hint="cs"/>
          <w:b/>
          <w:spacing w:val="0"/>
          <w:szCs w:val="24"/>
          <w:rtl/>
        </w:rPr>
        <w:t>אבו צפייה נ' שר הביטחון</w:t>
      </w:r>
      <w:r w:rsidRPr="00643EF4">
        <w:rPr>
          <w:rFonts w:hint="cs"/>
          <w:rtl/>
        </w:rPr>
        <w:t xml:space="preserve">, פסקה 20 לחוות הדעת של השופט </w:t>
      </w:r>
      <w:r w:rsidRPr="00643EF4">
        <w:rPr>
          <w:rFonts w:ascii="Century" w:hAnsi="Century" w:cs="Miriam" w:hint="cs"/>
          <w:b/>
          <w:spacing w:val="0"/>
          <w:sz w:val="22"/>
          <w:szCs w:val="24"/>
          <w:rtl/>
        </w:rPr>
        <w:t>ע' פוגלמן</w:t>
      </w:r>
      <w:r w:rsidRPr="00643EF4">
        <w:rPr>
          <w:rFonts w:hint="cs"/>
          <w:rtl/>
        </w:rPr>
        <w:t xml:space="preserve"> (29.12.2009) (להלן: עניין </w:t>
      </w:r>
      <w:r w:rsidRPr="00643EF4">
        <w:rPr>
          <w:rFonts w:cs="Miriam" w:hint="cs"/>
          <w:b/>
          <w:spacing w:val="0"/>
          <w:szCs w:val="24"/>
          <w:rtl/>
        </w:rPr>
        <w:t>אבו צפייה</w:t>
      </w:r>
      <w:r w:rsidRPr="00643EF4">
        <w:rPr>
          <w:rFonts w:hint="cs"/>
          <w:rtl/>
        </w:rPr>
        <w:t xml:space="preserve">); </w:t>
      </w:r>
      <w:r w:rsidRPr="00643EF4">
        <w:rPr>
          <w:rFonts w:ascii="Century" w:hAnsi="Century" w:hint="cs"/>
          <w:rtl/>
        </w:rPr>
        <w:t xml:space="preserve">בג"ץ 281/11 </w:t>
      </w:r>
      <w:r w:rsidRPr="00643EF4">
        <w:rPr>
          <w:rFonts w:ascii="Century" w:hAnsi="Century" w:cs="Miriam" w:hint="cs"/>
          <w:b/>
          <w:spacing w:val="0"/>
          <w:szCs w:val="24"/>
          <w:rtl/>
        </w:rPr>
        <w:t>ראש מועצת בית איכסא נ' שר הביטחון</w:t>
      </w:r>
      <w:r w:rsidRPr="00643EF4">
        <w:rPr>
          <w:rFonts w:ascii="Century" w:hAnsi="Century" w:hint="cs"/>
          <w:rtl/>
        </w:rPr>
        <w:t xml:space="preserve">, פסקה 26 (6.9.2011) (להלן: עניין </w:t>
      </w:r>
      <w:r w:rsidRPr="00643EF4">
        <w:rPr>
          <w:rFonts w:ascii="Century" w:hAnsi="Century" w:cs="Miriam" w:hint="cs"/>
          <w:b/>
          <w:spacing w:val="0"/>
          <w:szCs w:val="24"/>
          <w:rtl/>
        </w:rPr>
        <w:t>בית איכסא</w:t>
      </w:r>
      <w:r w:rsidRPr="00643EF4">
        <w:rPr>
          <w:rFonts w:ascii="Century" w:hAnsi="Century" w:hint="cs"/>
          <w:rtl/>
        </w:rPr>
        <w:t>)</w:t>
      </w:r>
      <w:r w:rsidRPr="00643EF4">
        <w:rPr>
          <w:rFonts w:ascii="Century" w:hAnsi="Century" w:hint="cs"/>
          <w:sz w:val="22"/>
          <w:rtl/>
        </w:rPr>
        <w:t xml:space="preserve">; </w:t>
      </w:r>
      <w:r w:rsidRPr="00643EF4">
        <w:rPr>
          <w:rFonts w:ascii="FrankRuehl" w:hAnsi="FrankRuehl" w:hint="cs"/>
          <w:color w:val="000000"/>
          <w:sz w:val="28"/>
          <w:rtl/>
        </w:rPr>
        <w:t xml:space="preserve">בג"ץ 9594/09 </w:t>
      </w:r>
      <w:r w:rsidRPr="00643EF4">
        <w:rPr>
          <w:rFonts w:ascii="Century" w:hAnsi="Century" w:cs="Miriam" w:hint="cs"/>
          <w:b/>
          <w:spacing w:val="0"/>
          <w:sz w:val="22"/>
          <w:szCs w:val="24"/>
          <w:rtl/>
        </w:rPr>
        <w:t>פורום משפטי למען ארץ ישראל נ' ועדת השרים לענייני ביטחון לאומי</w:t>
      </w:r>
      <w:r w:rsidRPr="00643EF4">
        <w:rPr>
          <w:rFonts w:ascii="FrankRuehl" w:hAnsi="FrankRuehl" w:hint="cs"/>
          <w:color w:val="000000"/>
          <w:sz w:val="28"/>
          <w:rtl/>
        </w:rPr>
        <w:t xml:space="preserve">, פסקה 19 (21.4.2010); ראו עוד </w:t>
      </w:r>
      <w:r w:rsidRPr="00643EF4">
        <w:rPr>
          <w:rFonts w:ascii="Century" w:hAnsi="Century" w:cs="Miriam" w:hint="cs"/>
          <w:b/>
          <w:spacing w:val="0"/>
          <w:sz w:val="22"/>
          <w:szCs w:val="24"/>
          <w:rtl/>
        </w:rPr>
        <w:t>בן-נפתלי ושני</w:t>
      </w:r>
      <w:r w:rsidRPr="00643EF4">
        <w:rPr>
          <w:rFonts w:ascii="FrankRuehl" w:hAnsi="FrankRuehl" w:hint="cs"/>
          <w:color w:val="000000"/>
          <w:sz w:val="28"/>
          <w:rtl/>
        </w:rPr>
        <w:t xml:space="preserve">, בעמ' 179-178; </w:t>
      </w:r>
      <w:r w:rsidRPr="00643EF4">
        <w:rPr>
          <w:rFonts w:ascii="Century" w:hAnsi="Century" w:cs="Miriam" w:hint="cs"/>
          <w:b/>
          <w:spacing w:val="0"/>
          <w:sz w:val="22"/>
          <w:szCs w:val="24"/>
          <w:rtl/>
        </w:rPr>
        <w:t>התפרקותה של פרדיגמת הכיבוש בשטחים</w:t>
      </w:r>
      <w:r w:rsidRPr="00643EF4">
        <w:rPr>
          <w:rFonts w:ascii="Century" w:hAnsi="Century" w:hint="cs"/>
          <w:sz w:val="22"/>
          <w:rtl/>
        </w:rPr>
        <w:t xml:space="preserve">, בעמ' 21-20; </w:t>
      </w:r>
      <w:r w:rsidRPr="00643EF4">
        <w:rPr>
          <w:rFonts w:ascii="Century" w:hAnsi="Century" w:cs="Miriam" w:hint="cs"/>
          <w:b/>
          <w:spacing w:val="0"/>
          <w:sz w:val="22"/>
          <w:szCs w:val="24"/>
          <w:rtl/>
        </w:rPr>
        <w:t>דינשטיין</w:t>
      </w:r>
      <w:r w:rsidRPr="00643EF4">
        <w:rPr>
          <w:rFonts w:ascii="Century" w:hAnsi="Century" w:hint="cs"/>
          <w:sz w:val="22"/>
          <w:rtl/>
        </w:rPr>
        <w:t>, בעמ' 130).</w:t>
      </w:r>
      <w:r w:rsidRPr="00643EF4">
        <w:rPr>
          <w:rtl/>
        </w:rPr>
        <w:t xml:space="preserve"> </w:t>
      </w:r>
    </w:p>
    <w:p w14:paraId="3535DC3A" w14:textId="77777777" w:rsidR="000E5D20" w:rsidRPr="00643EF4" w:rsidRDefault="000E5D20" w:rsidP="000E5D20">
      <w:pPr>
        <w:pStyle w:val="Ruller4"/>
        <w:numPr>
          <w:ilvl w:val="0"/>
          <w:numId w:val="0"/>
        </w:numPr>
        <w:rPr>
          <w:rFonts w:ascii="FrankRuehl" w:hAnsi="FrankRuehl"/>
          <w:sz w:val="28"/>
          <w:rtl/>
        </w:rPr>
      </w:pPr>
    </w:p>
    <w:p w14:paraId="6E4E5A6F" w14:textId="15660A60" w:rsidR="000E5D20" w:rsidRPr="00643EF4" w:rsidRDefault="000E5D20" w:rsidP="00FD70A4">
      <w:pPr>
        <w:pStyle w:val="Ruller4"/>
        <w:numPr>
          <w:ilvl w:val="0"/>
          <w:numId w:val="0"/>
        </w:numPr>
        <w:rPr>
          <w:rFonts w:ascii="FrankRuehl" w:hAnsi="FrankRuehl"/>
          <w:spacing w:val="0"/>
          <w:sz w:val="28"/>
        </w:rPr>
      </w:pPr>
      <w:r w:rsidRPr="00643EF4">
        <w:rPr>
          <w:rFonts w:ascii="FrankRuehl" w:hAnsi="FrankRuehl"/>
          <w:sz w:val="28"/>
          <w:rtl/>
        </w:rPr>
        <w:lastRenderedPageBreak/>
        <w:tab/>
      </w:r>
      <w:r w:rsidR="00FD70A4" w:rsidRPr="00643EF4">
        <w:rPr>
          <w:rFonts w:ascii="FrankRuehl" w:hAnsi="FrankRuehl" w:hint="cs"/>
          <w:sz w:val="28"/>
          <w:rtl/>
        </w:rPr>
        <w:t>אך טרם שנידרש לבחינה החוקתית של חוק ההסדרה,</w:t>
      </w:r>
      <w:r w:rsidRPr="00643EF4">
        <w:rPr>
          <w:rFonts w:ascii="Century" w:hAnsi="Century" w:hint="cs"/>
          <w:sz w:val="22"/>
          <w:rtl/>
        </w:rPr>
        <w:t xml:space="preserve"> מן הראוי להידרש בקצרה לטענות הסף שהעלתה מועצת מטה בנימין. </w:t>
      </w:r>
    </w:p>
    <w:p w14:paraId="4EF04B76" w14:textId="77777777" w:rsidR="000E5D20" w:rsidRPr="00643EF4" w:rsidRDefault="000E5D20" w:rsidP="000E5D20">
      <w:pPr>
        <w:pStyle w:val="Ruller41"/>
        <w:rPr>
          <w:rtl/>
        </w:rPr>
      </w:pPr>
    </w:p>
    <w:p w14:paraId="738BC083"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טענות סף</w:t>
      </w:r>
    </w:p>
    <w:p w14:paraId="536548D7" w14:textId="77777777" w:rsidR="000E5D20" w:rsidRPr="00643EF4" w:rsidRDefault="000E5D20" w:rsidP="000E5D20">
      <w:pPr>
        <w:pStyle w:val="Ruller41"/>
        <w:rPr>
          <w:rFonts w:ascii="Century" w:hAnsi="Century" w:cs="Miriam"/>
          <w:b/>
          <w:spacing w:val="0"/>
          <w:szCs w:val="24"/>
          <w:rtl/>
        </w:rPr>
      </w:pPr>
    </w:p>
    <w:p w14:paraId="6FA845A1" w14:textId="6393DEF3" w:rsidR="000E5D20" w:rsidRPr="00643EF4" w:rsidRDefault="000E5D20" w:rsidP="000E5D20">
      <w:pPr>
        <w:pStyle w:val="Ruller4"/>
        <w:tabs>
          <w:tab w:val="num" w:pos="10307"/>
        </w:tabs>
        <w:rPr>
          <w:rFonts w:ascii="Century" w:hAnsi="Century"/>
          <w:rtl/>
        </w:rPr>
      </w:pPr>
      <w:r w:rsidRPr="00643EF4">
        <w:rPr>
          <w:rFonts w:hint="cs"/>
          <w:rtl/>
        </w:rPr>
        <w:t xml:space="preserve">מועצת מטה בנימין העלתה שורה של טענות סף המצדיקות, לגישתה, את דחיית העתירות. נטען כי העתירות אינן </w:t>
      </w:r>
      <w:r w:rsidRPr="00643EF4">
        <w:rPr>
          <w:rFonts w:ascii="Century" w:hAnsi="Century" w:hint="eastAsia"/>
          <w:rtl/>
        </w:rPr>
        <w:t>בשלות</w:t>
      </w:r>
      <w:r w:rsidRPr="00643EF4">
        <w:rPr>
          <w:rFonts w:ascii="Century" w:hAnsi="Century" w:hint="cs"/>
          <w:rtl/>
        </w:rPr>
        <w:t xml:space="preserve"> וכי הן תיאורטיות ובלתי מבוססות, שכן החוק טרם יושם ולא נאספו די נתונים שיש בהם כדי להעיד על פגיעתו בזכויות. טענה זו דינה להידחות. לגישתי, המקרה שלפנינו איננו המקרה המתאים להחלת דוקטרינת היעדר הבשלות אשר מצאה לה אחיזה מסוימת בפסיקתו של בית משפט זה מן השנים האחרונות </w:t>
      </w:r>
      <w:r w:rsidRPr="00643EF4">
        <w:rPr>
          <w:rFonts w:hint="cs"/>
          <w:rtl/>
        </w:rPr>
        <w:t xml:space="preserve">(ראו, למשל: </w:t>
      </w:r>
      <w:r w:rsidRPr="00643EF4">
        <w:rPr>
          <w:rtl/>
        </w:rPr>
        <w:t xml:space="preserve">בג"ץ 7190/05 </w:t>
      </w:r>
      <w:r w:rsidRPr="00643EF4">
        <w:rPr>
          <w:rFonts w:ascii="Century" w:hAnsi="Century" w:cs="Miriam" w:hint="eastAsia"/>
          <w:b/>
          <w:spacing w:val="0"/>
          <w:sz w:val="22"/>
          <w:szCs w:val="24"/>
          <w:rtl/>
        </w:rPr>
        <w:t>לובל</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ממשלת</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ישראל</w:t>
      </w:r>
      <w:r w:rsidRPr="00643EF4">
        <w:rPr>
          <w:rtl/>
        </w:rPr>
        <w:t xml:space="preserve">, </w:t>
      </w:r>
      <w:r w:rsidRPr="00643EF4">
        <w:rPr>
          <w:rFonts w:hint="eastAsia"/>
          <w:rtl/>
        </w:rPr>
        <w:t>חוות</w:t>
      </w:r>
      <w:r w:rsidRPr="00643EF4">
        <w:rPr>
          <w:rtl/>
        </w:rPr>
        <w:t xml:space="preserve"> דעתה של השופטת (כת</w:t>
      </w:r>
      <w:r w:rsidRPr="00643EF4">
        <w:rPr>
          <w:rFonts w:hint="cs"/>
          <w:rtl/>
        </w:rPr>
        <w:t>ו</w:t>
      </w:r>
      <w:r w:rsidRPr="00643EF4">
        <w:rPr>
          <w:rtl/>
        </w:rPr>
        <w:t xml:space="preserve">ארה אז) </w:t>
      </w:r>
      <w:r w:rsidRPr="00643EF4">
        <w:rPr>
          <w:rFonts w:ascii="Century" w:hAnsi="Century" w:cs="Miriam" w:hint="eastAsia"/>
          <w:b/>
          <w:spacing w:val="0"/>
          <w:sz w:val="22"/>
          <w:szCs w:val="24"/>
          <w:rtl/>
        </w:rPr>
        <w:t>מ</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נאור</w:t>
      </w:r>
      <w:r w:rsidRPr="00643EF4">
        <w:rPr>
          <w:rtl/>
        </w:rPr>
        <w:t xml:space="preserve"> (18.1.2006</w:t>
      </w:r>
      <w:r w:rsidRPr="00643EF4">
        <w:rPr>
          <w:rFonts w:hint="cs"/>
          <w:rtl/>
        </w:rPr>
        <w:t xml:space="preserve">); </w:t>
      </w:r>
      <w:r w:rsidRPr="00643EF4">
        <w:rPr>
          <w:rtl/>
        </w:rPr>
        <w:t xml:space="preserve">בג"ץ 3429/11 </w:t>
      </w:r>
      <w:r w:rsidRPr="00643EF4">
        <w:rPr>
          <w:rFonts w:ascii="Century" w:hAnsi="Century" w:cs="Miriam" w:hint="eastAsia"/>
          <w:b/>
          <w:spacing w:val="0"/>
          <w:sz w:val="22"/>
          <w:szCs w:val="24"/>
          <w:rtl/>
        </w:rPr>
        <w:t>בוגרי</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התיכון</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הערבי</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האורתודוקסי</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בחיפה</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שר</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האוצר</w:t>
      </w:r>
      <w:r w:rsidRPr="00643EF4">
        <w:rPr>
          <w:rtl/>
        </w:rPr>
        <w:t xml:space="preserve">, פסקאות 33-26 </w:t>
      </w:r>
      <w:r w:rsidRPr="00643EF4">
        <w:rPr>
          <w:rFonts w:hint="cs"/>
          <w:rtl/>
        </w:rPr>
        <w:t>(</w:t>
      </w:r>
      <w:r w:rsidRPr="00643EF4">
        <w:rPr>
          <w:rtl/>
        </w:rPr>
        <w:t>5.1.2012);</w:t>
      </w:r>
      <w:r w:rsidRPr="00643EF4">
        <w:rPr>
          <w:rFonts w:hint="cs"/>
          <w:rtl/>
        </w:rPr>
        <w:t xml:space="preserve"> </w:t>
      </w:r>
      <w:r w:rsidRPr="00643EF4">
        <w:rPr>
          <w:rFonts w:hint="eastAsia"/>
          <w:rtl/>
        </w:rPr>
        <w:t>בג</w:t>
      </w:r>
      <w:r w:rsidRPr="00643EF4">
        <w:rPr>
          <w:rFonts w:hint="cs"/>
          <w:rtl/>
        </w:rPr>
        <w:t>"</w:t>
      </w:r>
      <w:r w:rsidRPr="00643EF4">
        <w:rPr>
          <w:rFonts w:hint="eastAsia"/>
          <w:rtl/>
        </w:rPr>
        <w:t>ץ</w:t>
      </w:r>
      <w:r w:rsidRPr="00643EF4">
        <w:rPr>
          <w:rtl/>
        </w:rPr>
        <w:t xml:space="preserve"> 2311/11 </w:t>
      </w:r>
      <w:r w:rsidRPr="00643EF4">
        <w:rPr>
          <w:rFonts w:ascii="Century" w:hAnsi="Century" w:cs="Miriam" w:hint="eastAsia"/>
          <w:b/>
          <w:spacing w:val="0"/>
          <w:sz w:val="22"/>
          <w:szCs w:val="24"/>
          <w:rtl/>
        </w:rPr>
        <w:t>סבח</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הכנסת</w:t>
      </w:r>
      <w:r w:rsidRPr="00643EF4">
        <w:rPr>
          <w:rFonts w:ascii="Century" w:hAnsi="Century"/>
          <w:sz w:val="22"/>
          <w:rtl/>
        </w:rPr>
        <w:t>,</w:t>
      </w:r>
      <w:r w:rsidRPr="00643EF4">
        <w:rPr>
          <w:rFonts w:ascii="Century" w:hAnsi="Century" w:cs="Miriam"/>
          <w:b/>
          <w:spacing w:val="0"/>
          <w:sz w:val="22"/>
          <w:szCs w:val="24"/>
          <w:rtl/>
        </w:rPr>
        <w:t xml:space="preserve"> </w:t>
      </w:r>
      <w:r w:rsidRPr="00643EF4">
        <w:rPr>
          <w:rFonts w:ascii="Century" w:hAnsi="Century" w:hint="cs"/>
          <w:sz w:val="22"/>
          <w:rtl/>
        </w:rPr>
        <w:t>פסקה</w:t>
      </w:r>
      <w:r w:rsidRPr="00643EF4">
        <w:rPr>
          <w:rFonts w:ascii="Century" w:hAnsi="Century"/>
          <w:sz w:val="22"/>
          <w:rtl/>
        </w:rPr>
        <w:t xml:space="preserve"> 12 </w:t>
      </w:r>
      <w:r w:rsidRPr="00643EF4">
        <w:rPr>
          <w:rFonts w:ascii="Century" w:hAnsi="Century" w:hint="eastAsia"/>
          <w:sz w:val="22"/>
          <w:rtl/>
        </w:rPr>
        <w:t>לחוות</w:t>
      </w:r>
      <w:r w:rsidRPr="00643EF4">
        <w:rPr>
          <w:rFonts w:ascii="Century" w:hAnsi="Century"/>
          <w:sz w:val="22"/>
          <w:rtl/>
        </w:rPr>
        <w:t xml:space="preserve"> </w:t>
      </w:r>
      <w:r w:rsidRPr="00643EF4">
        <w:rPr>
          <w:rFonts w:ascii="Century" w:hAnsi="Century" w:hint="eastAsia"/>
          <w:sz w:val="22"/>
          <w:rtl/>
        </w:rPr>
        <w:t>דעתו</w:t>
      </w:r>
      <w:r w:rsidRPr="00643EF4">
        <w:rPr>
          <w:rFonts w:ascii="Century" w:hAnsi="Century"/>
          <w:sz w:val="22"/>
          <w:rtl/>
        </w:rPr>
        <w:t xml:space="preserve"> </w:t>
      </w:r>
      <w:r w:rsidRPr="00643EF4">
        <w:rPr>
          <w:rFonts w:ascii="Century" w:hAnsi="Century" w:hint="eastAsia"/>
          <w:sz w:val="22"/>
          <w:rtl/>
        </w:rPr>
        <w:t>של</w:t>
      </w:r>
      <w:r w:rsidRPr="00643EF4">
        <w:rPr>
          <w:rFonts w:ascii="Century" w:hAnsi="Century"/>
          <w:sz w:val="22"/>
          <w:rtl/>
        </w:rPr>
        <w:t xml:space="preserve"> </w:t>
      </w:r>
      <w:r w:rsidRPr="00643EF4">
        <w:rPr>
          <w:rFonts w:ascii="Century" w:hAnsi="Century" w:hint="eastAsia"/>
          <w:sz w:val="22"/>
          <w:rtl/>
        </w:rPr>
        <w:t>הנשיא</w:t>
      </w:r>
      <w:r w:rsidRPr="00643EF4">
        <w:rPr>
          <w:rFonts w:ascii="Century" w:hAnsi="Century"/>
          <w:sz w:val="22"/>
          <w:rtl/>
        </w:rPr>
        <w:t xml:space="preserve"> </w:t>
      </w:r>
      <w:r w:rsidRPr="00643EF4">
        <w:rPr>
          <w:rFonts w:ascii="Century" w:hAnsi="Century" w:cs="Miriam" w:hint="eastAsia"/>
          <w:b/>
          <w:spacing w:val="0"/>
          <w:sz w:val="22"/>
          <w:szCs w:val="24"/>
          <w:rtl/>
        </w:rPr>
        <w:t>א</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גרוניס</w:t>
      </w:r>
      <w:r w:rsidRPr="00643EF4">
        <w:rPr>
          <w:rFonts w:ascii="Century" w:hAnsi="Century" w:cs="Miriam"/>
          <w:b/>
          <w:spacing w:val="0"/>
          <w:sz w:val="22"/>
          <w:szCs w:val="24"/>
          <w:rtl/>
        </w:rPr>
        <w:t xml:space="preserve"> </w:t>
      </w:r>
      <w:r w:rsidRPr="00643EF4">
        <w:rPr>
          <w:rFonts w:ascii="Century" w:hAnsi="Century"/>
          <w:sz w:val="22"/>
          <w:rtl/>
        </w:rPr>
        <w:t>(17.9.2014</w:t>
      </w:r>
      <w:r w:rsidRPr="00643EF4">
        <w:rPr>
          <w:rtl/>
        </w:rPr>
        <w:t>)</w:t>
      </w:r>
      <w:r w:rsidRPr="00643EF4">
        <w:rPr>
          <w:rFonts w:hint="cs"/>
          <w:rtl/>
        </w:rPr>
        <w:t xml:space="preserve"> (להלן: עניין </w:t>
      </w:r>
      <w:r w:rsidRPr="00643EF4">
        <w:rPr>
          <w:rFonts w:ascii="Century" w:hAnsi="Century" w:cs="Miriam" w:hint="cs"/>
          <w:b/>
          <w:spacing w:val="0"/>
          <w:sz w:val="22"/>
          <w:szCs w:val="24"/>
          <w:rtl/>
        </w:rPr>
        <w:t>סבח</w:t>
      </w:r>
      <w:r w:rsidRPr="00643EF4">
        <w:rPr>
          <w:rFonts w:ascii="Century" w:hAnsi="Century" w:hint="cs"/>
          <w:sz w:val="22"/>
          <w:rtl/>
        </w:rPr>
        <w:t>)</w:t>
      </w:r>
      <w:r w:rsidRPr="00643EF4">
        <w:rPr>
          <w:rtl/>
        </w:rPr>
        <w:t>).</w:t>
      </w:r>
      <w:r w:rsidRPr="00643EF4">
        <w:rPr>
          <w:rFonts w:hint="cs"/>
          <w:rtl/>
        </w:rPr>
        <w:t xml:space="preserve"> זאת, משום שהשאלות המתעוררות בעתירות שלפנינו הן שאלות משפטיות מובהקות שההכרעה בהן אינה מצריכה תשתית עובדתית נוספת וממילא אין היא מצדיקה המתנה להבשלתה של תשתית כזו (השוו לעניין </w:t>
      </w:r>
      <w:r w:rsidRPr="00643EF4">
        <w:rPr>
          <w:rFonts w:ascii="Century" w:hAnsi="Century" w:cs="Miriam" w:hint="cs"/>
          <w:b/>
          <w:spacing w:val="0"/>
          <w:sz w:val="22"/>
          <w:szCs w:val="24"/>
          <w:rtl/>
        </w:rPr>
        <w:t>סבח</w:t>
      </w:r>
      <w:r w:rsidRPr="00643EF4">
        <w:rPr>
          <w:rFonts w:ascii="Century" w:hAnsi="Century" w:hint="cs"/>
          <w:sz w:val="22"/>
          <w:rtl/>
        </w:rPr>
        <w:t xml:space="preserve">, פסקה 15 </w:t>
      </w:r>
      <w:r w:rsidRPr="00643EF4">
        <w:rPr>
          <w:rFonts w:ascii="Century" w:hAnsi="Century" w:hint="eastAsia"/>
          <w:sz w:val="22"/>
          <w:rtl/>
        </w:rPr>
        <w:t>לחוות</w:t>
      </w:r>
      <w:r w:rsidRPr="00643EF4">
        <w:rPr>
          <w:rFonts w:ascii="Century" w:hAnsi="Century"/>
          <w:sz w:val="22"/>
          <w:rtl/>
        </w:rPr>
        <w:t xml:space="preserve"> </w:t>
      </w:r>
      <w:r w:rsidRPr="00643EF4">
        <w:rPr>
          <w:rFonts w:ascii="Century" w:hAnsi="Century" w:hint="eastAsia"/>
          <w:sz w:val="22"/>
          <w:rtl/>
        </w:rPr>
        <w:t>דעתו</w:t>
      </w:r>
      <w:r w:rsidRPr="00643EF4">
        <w:rPr>
          <w:rFonts w:ascii="Century" w:hAnsi="Century"/>
          <w:sz w:val="22"/>
          <w:rtl/>
        </w:rPr>
        <w:t xml:space="preserve"> </w:t>
      </w:r>
      <w:r w:rsidRPr="00643EF4">
        <w:rPr>
          <w:rFonts w:ascii="Century" w:hAnsi="Century" w:hint="eastAsia"/>
          <w:sz w:val="22"/>
          <w:rtl/>
        </w:rPr>
        <w:t>של</w:t>
      </w:r>
      <w:r w:rsidRPr="00643EF4">
        <w:rPr>
          <w:rFonts w:ascii="Century" w:hAnsi="Century"/>
          <w:sz w:val="22"/>
          <w:rtl/>
        </w:rPr>
        <w:t xml:space="preserve"> </w:t>
      </w:r>
      <w:r w:rsidRPr="00643EF4">
        <w:rPr>
          <w:rFonts w:ascii="Century" w:hAnsi="Century" w:hint="eastAsia"/>
          <w:sz w:val="22"/>
          <w:rtl/>
        </w:rPr>
        <w:t>הנשיא</w:t>
      </w:r>
      <w:r w:rsidRPr="00643EF4">
        <w:rPr>
          <w:rFonts w:ascii="Century" w:hAnsi="Century"/>
          <w:sz w:val="22"/>
          <w:rtl/>
        </w:rPr>
        <w:t xml:space="preserve"> </w:t>
      </w:r>
      <w:r w:rsidRPr="00643EF4">
        <w:rPr>
          <w:rFonts w:ascii="Century" w:hAnsi="Century" w:cs="Miriam" w:hint="eastAsia"/>
          <w:b/>
          <w:spacing w:val="0"/>
          <w:sz w:val="22"/>
          <w:szCs w:val="24"/>
          <w:rtl/>
        </w:rPr>
        <w:t>א</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גרוניס</w:t>
      </w:r>
      <w:r w:rsidRPr="00643EF4">
        <w:rPr>
          <w:rFonts w:hint="cs"/>
          <w:rtl/>
        </w:rPr>
        <w:t xml:space="preserve">). עשויה אמנם להתעורר שאלה בדבר היקף המקרקעין המיועדים להסדרה על פי המנגנון הקבוע בחוק ובדבר זהות בעלי הזכויות באותם המקרקעין, אך מנגנון ההסדרה הקבוע בחוק ברור וידוע, המועדים שנקבעו ליישומו ברורים וידועים, ומהות הזכויות שעלולות להיפגע כתוצאה מכך, להבדיל מהיקפן, ידועה אף היא. </w:t>
      </w:r>
      <w:r w:rsidR="00542C5E" w:rsidRPr="00643EF4">
        <w:rPr>
          <w:rFonts w:hint="cs"/>
          <w:rtl/>
        </w:rPr>
        <w:t xml:space="preserve">ובנוסף, </w:t>
      </w:r>
      <w:r w:rsidRPr="00643EF4">
        <w:rPr>
          <w:rFonts w:hint="cs"/>
          <w:rtl/>
        </w:rPr>
        <w:t xml:space="preserve">הממשלה לא חלקה </w:t>
      </w:r>
      <w:r w:rsidR="00542C5E" w:rsidRPr="00643EF4">
        <w:rPr>
          <w:rFonts w:hint="cs"/>
          <w:rtl/>
        </w:rPr>
        <w:t xml:space="preserve">כלל </w:t>
      </w:r>
      <w:r w:rsidRPr="00643EF4">
        <w:rPr>
          <w:rFonts w:hint="cs"/>
          <w:rtl/>
        </w:rPr>
        <w:t>על כך שהחוק יש בו משום פגיעה בזכות לקניין של בעלי הזכויות הפלסטינים במקרקעין שעליהם חל החוק. איני סבורה על כן, כי יישום החוק והנתונים שיאספו בעקבות כך, יש בהם כדי להשפיע באופן ממשי על ההכרעה בעתירות. לכך יש להוסיף כי דחיית הדיון בעתירות עלולה להוביל למצב של קביעת עובדות בלתי הפיכות בשטח</w:t>
      </w:r>
      <w:r w:rsidRPr="00643EF4">
        <w:rPr>
          <w:rFonts w:ascii="Century" w:hAnsi="Century" w:hint="cs"/>
          <w:sz w:val="22"/>
          <w:rtl/>
        </w:rPr>
        <w:t xml:space="preserve">, שתקשה על השבת המצב לקדמותו </w:t>
      </w:r>
      <w:r w:rsidRPr="00643EF4">
        <w:rPr>
          <w:rFonts w:hint="cs"/>
          <w:rtl/>
        </w:rPr>
        <w:t xml:space="preserve">(השוו לעניין </w:t>
      </w:r>
      <w:r w:rsidRPr="00643EF4">
        <w:rPr>
          <w:rFonts w:ascii="Century" w:hAnsi="Century" w:cs="Miriam" w:hint="cs"/>
          <w:b/>
          <w:spacing w:val="0"/>
          <w:sz w:val="22"/>
          <w:szCs w:val="24"/>
          <w:rtl/>
        </w:rPr>
        <w:t>סבח</w:t>
      </w:r>
      <w:r w:rsidRPr="00643EF4">
        <w:rPr>
          <w:rFonts w:ascii="Century" w:hAnsi="Century" w:hint="cs"/>
          <w:sz w:val="22"/>
          <w:rtl/>
        </w:rPr>
        <w:t xml:space="preserve">, פסקה 16 </w:t>
      </w:r>
      <w:r w:rsidRPr="00643EF4">
        <w:rPr>
          <w:rFonts w:ascii="Century" w:hAnsi="Century" w:hint="eastAsia"/>
          <w:sz w:val="22"/>
          <w:rtl/>
        </w:rPr>
        <w:t>לחוות</w:t>
      </w:r>
      <w:r w:rsidRPr="00643EF4">
        <w:rPr>
          <w:rFonts w:ascii="Century" w:hAnsi="Century"/>
          <w:sz w:val="22"/>
          <w:rtl/>
        </w:rPr>
        <w:t xml:space="preserve"> </w:t>
      </w:r>
      <w:r w:rsidRPr="00643EF4">
        <w:rPr>
          <w:rFonts w:ascii="Century" w:hAnsi="Century" w:hint="eastAsia"/>
          <w:sz w:val="22"/>
          <w:rtl/>
        </w:rPr>
        <w:t>דעתו</w:t>
      </w:r>
      <w:r w:rsidRPr="00643EF4">
        <w:rPr>
          <w:rFonts w:ascii="Century" w:hAnsi="Century"/>
          <w:sz w:val="22"/>
          <w:rtl/>
        </w:rPr>
        <w:t xml:space="preserve"> </w:t>
      </w:r>
      <w:r w:rsidRPr="00643EF4">
        <w:rPr>
          <w:rFonts w:ascii="Century" w:hAnsi="Century" w:hint="eastAsia"/>
          <w:sz w:val="22"/>
          <w:rtl/>
        </w:rPr>
        <w:t>של</w:t>
      </w:r>
      <w:r w:rsidRPr="00643EF4">
        <w:rPr>
          <w:rFonts w:ascii="Century" w:hAnsi="Century"/>
          <w:sz w:val="22"/>
          <w:rtl/>
        </w:rPr>
        <w:t xml:space="preserve"> </w:t>
      </w:r>
      <w:r w:rsidRPr="00643EF4">
        <w:rPr>
          <w:rFonts w:ascii="Century" w:hAnsi="Century" w:hint="eastAsia"/>
          <w:sz w:val="22"/>
          <w:rtl/>
        </w:rPr>
        <w:t>הנשיא</w:t>
      </w:r>
      <w:r w:rsidRPr="00643EF4">
        <w:rPr>
          <w:rFonts w:ascii="Century" w:hAnsi="Century"/>
          <w:sz w:val="22"/>
          <w:rtl/>
        </w:rPr>
        <w:t xml:space="preserve"> </w:t>
      </w:r>
      <w:r w:rsidRPr="00643EF4">
        <w:rPr>
          <w:rFonts w:ascii="Century" w:hAnsi="Century" w:cs="Miriam" w:hint="eastAsia"/>
          <w:b/>
          <w:spacing w:val="0"/>
          <w:sz w:val="22"/>
          <w:szCs w:val="24"/>
          <w:rtl/>
        </w:rPr>
        <w:t>א</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גרוניס</w:t>
      </w:r>
      <w:r w:rsidRPr="00643EF4">
        <w:rPr>
          <w:rFonts w:ascii="Century" w:hAnsi="Century" w:hint="cs"/>
          <w:sz w:val="22"/>
          <w:rtl/>
        </w:rPr>
        <w:t>) ונראה כי מטעם זה לא ראתה הממשלה להישען מצידה על דוקטרינת חוסר הבשלות</w:t>
      </w:r>
      <w:r w:rsidRPr="00643EF4">
        <w:rPr>
          <w:rFonts w:hint="cs"/>
          <w:rtl/>
        </w:rPr>
        <w:t xml:space="preserve"> (ראו בפסקה 167 לתגובת הממשלה). בנסיבות אלה, ובשים לב לאינטרס הציבורי המובהק הקיים בבירור העתירות אני סבורה, כאמור, כי טענת היעדר הבשלות</w:t>
      </w:r>
      <w:r w:rsidR="0057102E" w:rsidRPr="00643EF4">
        <w:rPr>
          <w:rFonts w:hint="cs"/>
          <w:rtl/>
        </w:rPr>
        <w:t xml:space="preserve"> שהעלתה מועצת מטה בנימין</w:t>
      </w:r>
      <w:r w:rsidRPr="00643EF4">
        <w:rPr>
          <w:rFonts w:hint="cs"/>
          <w:rtl/>
        </w:rPr>
        <w:t xml:space="preserve"> דינה להידחות. </w:t>
      </w:r>
    </w:p>
    <w:p w14:paraId="2584366A" w14:textId="77777777" w:rsidR="000E5D20" w:rsidRPr="00643EF4" w:rsidRDefault="000E5D20" w:rsidP="000E5D20">
      <w:pPr>
        <w:pStyle w:val="Ruller41"/>
        <w:rPr>
          <w:rtl/>
        </w:rPr>
      </w:pPr>
    </w:p>
    <w:p w14:paraId="5C283CF9" w14:textId="058E61E8" w:rsidR="000E5D20" w:rsidRPr="00643EF4" w:rsidRDefault="000E5D20" w:rsidP="000E5D20">
      <w:pPr>
        <w:pStyle w:val="Ruller4"/>
        <w:tabs>
          <w:tab w:val="num" w:pos="10307"/>
        </w:tabs>
        <w:rPr>
          <w:rtl/>
        </w:rPr>
      </w:pPr>
      <w:r w:rsidRPr="00643EF4">
        <w:rPr>
          <w:rFonts w:ascii="Century" w:hAnsi="Century" w:hint="cs"/>
          <w:sz w:val="22"/>
          <w:rtl/>
        </w:rPr>
        <w:t xml:space="preserve">המועצה מוסיפה וטוענת כי דין </w:t>
      </w:r>
      <w:r w:rsidRPr="00643EF4">
        <w:rPr>
          <w:rFonts w:hint="cs"/>
          <w:rtl/>
        </w:rPr>
        <w:t xml:space="preserve">העתירות להידחות על הסף בשל היעדר זכות עמידה לעותרים, שכן איש מהם אינו בעל זכויות במקרקעין העלול להיפגע כתוצאה מיישום החוק. נטען כי בירור הטענות שבעתירות מבלי שבעלי הזכויות עצמם הם שפנו לבית המשפט עלול לגרור את בעלי הזכויות לבירור משפטי בעל כורחם, וכי אין לאפשר בירור של העתירות מבלי שהונחה בפני בית המשפט תשתית עובדתית הנוגעת לפגיעה </w:t>
      </w:r>
      <w:r w:rsidRPr="00643EF4">
        <w:rPr>
          <w:rFonts w:hint="cs"/>
          <w:rtl/>
        </w:rPr>
        <w:lastRenderedPageBreak/>
        <w:t xml:space="preserve">קונקרטית בבעלי זכויות במקרקעין. בטענות אלו לא מצאתי ממש. אכן, ככלל לא ייעתר בית המשפט לעתירה ציבורית מקום שברקע העניין מצוי נפגע פרטי אשר אינו פונה לבית המשפט בבקשת סעד על פגיעתו. אך על פי ההלכה הנוהגת עמנו מזה עשרות בשנים, נתונה לעותר ציבורי זכות עמידה ככל שהדבר נוגע לקידומו של שלטון החוק, לאכיפתם של עקרונות חוקתיים, וכן כאשר יש לתקן פגם מהותי שנפל בפעולת המינהל הציבורי (בג"ץ 651/03 </w:t>
      </w:r>
      <w:r w:rsidRPr="00643EF4">
        <w:rPr>
          <w:rFonts w:ascii="Century" w:hAnsi="Century" w:cs="Miriam" w:hint="cs"/>
          <w:b/>
          <w:spacing w:val="0"/>
          <w:sz w:val="22"/>
          <w:szCs w:val="24"/>
          <w:rtl/>
        </w:rPr>
        <w:t>האגודה לזכויות האזרח בישראל נ' יושב-ראש ועדת הבחירות המרכזית לכנסת השש-עשרה</w:t>
      </w:r>
      <w:r w:rsidRPr="00643EF4">
        <w:rPr>
          <w:rFonts w:hint="cs"/>
          <w:rtl/>
        </w:rPr>
        <w:t xml:space="preserve">, פ"ד נז(2) 62, 70-68 (2003)). טענה נוספת שהעלתה המועצה היא כי העותרות 17-1 בבג"ץ 1308/17 הן אורגנים מינהליים ברשות הפלסטינית, שאין לאפשר להם זכות עמידה בבית משפט זה. טענה זו הועלתה באורח כללי וללא ביסוס משפטי ועובדתי ודי בטעם זה על מנת לדחותה. למעלה מן הצורך יצוין כי בניגוד לטענת המועצה, </w:t>
      </w:r>
      <w:r w:rsidRPr="00643EF4">
        <w:rPr>
          <w:rFonts w:ascii="Century" w:hAnsi="Century" w:hint="cs"/>
          <w:sz w:val="22"/>
          <w:rtl/>
        </w:rPr>
        <w:t xml:space="preserve">סוגיית מעמדה של הרשות הפלסטינית ושל גורמיה בפני </w:t>
      </w:r>
      <w:r w:rsidRPr="00643EF4">
        <w:rPr>
          <w:rFonts w:ascii="Century" w:hAnsi="Century" w:hint="eastAsia"/>
          <w:sz w:val="22"/>
          <w:rtl/>
        </w:rPr>
        <w:t>בית</w:t>
      </w:r>
      <w:r w:rsidRPr="00643EF4">
        <w:rPr>
          <w:rFonts w:ascii="Century" w:hAnsi="Century"/>
          <w:sz w:val="22"/>
          <w:rtl/>
        </w:rPr>
        <w:t xml:space="preserve"> </w:t>
      </w:r>
      <w:r w:rsidRPr="00643EF4">
        <w:rPr>
          <w:rFonts w:ascii="Century" w:hAnsi="Century" w:hint="cs"/>
          <w:sz w:val="22"/>
          <w:rtl/>
        </w:rPr>
        <w:t>משפט זה</w:t>
      </w:r>
      <w:r w:rsidR="009C695C" w:rsidRPr="00643EF4">
        <w:rPr>
          <w:rFonts w:ascii="Century" w:hAnsi="Century" w:hint="cs"/>
          <w:sz w:val="22"/>
          <w:rtl/>
        </w:rPr>
        <w:t>,</w:t>
      </w:r>
      <w:r w:rsidRPr="00643EF4">
        <w:rPr>
          <w:rFonts w:hint="cs"/>
          <w:rtl/>
        </w:rPr>
        <w:t xml:space="preserve"> ככל שהדבר נוגע לזכות העמידה בעניינים דוגמת אלה המועלים בעתירות דנן, לא הוכרעה ב</w:t>
      </w:r>
      <w:r w:rsidRPr="00643EF4">
        <w:rPr>
          <w:rFonts w:ascii="Century" w:hAnsi="Century" w:hint="cs"/>
          <w:rtl/>
        </w:rPr>
        <w:t xml:space="preserve">בג"ץ </w:t>
      </w:r>
      <w:r w:rsidRPr="00643EF4">
        <w:rPr>
          <w:rtl/>
        </w:rPr>
        <w:t xml:space="preserve">1104/10 </w:t>
      </w:r>
      <w:r w:rsidRPr="00643EF4">
        <w:rPr>
          <w:rFonts w:ascii="Century" w:hAnsi="Century" w:cs="Miriam" w:hint="eastAsia"/>
          <w:b/>
          <w:spacing w:val="0"/>
          <w:szCs w:val="24"/>
          <w:rtl/>
        </w:rPr>
        <w:t>השר</w:t>
      </w:r>
      <w:r w:rsidRPr="00643EF4">
        <w:rPr>
          <w:rFonts w:ascii="Century" w:hAnsi="Century" w:cs="Miriam"/>
          <w:b/>
          <w:spacing w:val="0"/>
          <w:szCs w:val="24"/>
          <w:rtl/>
        </w:rPr>
        <w:t xml:space="preserve"> </w:t>
      </w:r>
      <w:r w:rsidRPr="00643EF4">
        <w:rPr>
          <w:rFonts w:ascii="Century" w:hAnsi="Century" w:cs="Miriam" w:hint="eastAsia"/>
          <w:b/>
          <w:spacing w:val="0"/>
          <w:szCs w:val="24"/>
          <w:rtl/>
        </w:rPr>
        <w:t>לענייני</w:t>
      </w:r>
      <w:r w:rsidRPr="00643EF4">
        <w:rPr>
          <w:rFonts w:ascii="Century" w:hAnsi="Century" w:cs="Miriam"/>
          <w:b/>
          <w:spacing w:val="0"/>
          <w:szCs w:val="24"/>
          <w:rtl/>
        </w:rPr>
        <w:t xml:space="preserve"> </w:t>
      </w:r>
      <w:r w:rsidRPr="00643EF4">
        <w:rPr>
          <w:rFonts w:ascii="Century" w:hAnsi="Century" w:cs="Miriam" w:hint="eastAsia"/>
          <w:b/>
          <w:spacing w:val="0"/>
          <w:szCs w:val="24"/>
          <w:rtl/>
        </w:rPr>
        <w:t>אסירים</w:t>
      </w:r>
      <w:r w:rsidRPr="00643EF4">
        <w:rPr>
          <w:rFonts w:ascii="Century" w:hAnsi="Century" w:cs="Miriam"/>
          <w:b/>
          <w:spacing w:val="0"/>
          <w:szCs w:val="24"/>
          <w:rtl/>
        </w:rPr>
        <w:t xml:space="preserve"> </w:t>
      </w:r>
      <w:r w:rsidRPr="00643EF4">
        <w:rPr>
          <w:rFonts w:ascii="Century" w:hAnsi="Century" w:cs="Miriam" w:hint="eastAsia"/>
          <w:b/>
          <w:spacing w:val="0"/>
          <w:szCs w:val="24"/>
          <w:rtl/>
        </w:rPr>
        <w:t>ומשוחררים</w:t>
      </w:r>
      <w:r w:rsidRPr="00643EF4">
        <w:rPr>
          <w:rFonts w:ascii="Century" w:hAnsi="Century" w:cs="Miriam"/>
          <w:b/>
          <w:spacing w:val="0"/>
          <w:szCs w:val="24"/>
          <w:rtl/>
        </w:rPr>
        <w:t xml:space="preserve"> </w:t>
      </w:r>
      <w:r w:rsidRPr="00643EF4">
        <w:rPr>
          <w:rFonts w:ascii="Century" w:hAnsi="Century" w:cs="Miriam" w:hint="eastAsia"/>
          <w:b/>
          <w:spacing w:val="0"/>
          <w:szCs w:val="24"/>
          <w:rtl/>
        </w:rPr>
        <w:t>ברשות</w:t>
      </w:r>
      <w:r w:rsidRPr="00643EF4">
        <w:rPr>
          <w:rFonts w:ascii="Century" w:hAnsi="Century" w:cs="Miriam"/>
          <w:b/>
          <w:spacing w:val="0"/>
          <w:szCs w:val="24"/>
          <w:rtl/>
        </w:rPr>
        <w:t xml:space="preserve"> </w:t>
      </w:r>
      <w:r w:rsidRPr="00643EF4">
        <w:rPr>
          <w:rFonts w:ascii="Century" w:hAnsi="Century" w:cs="Miriam" w:hint="eastAsia"/>
          <w:b/>
          <w:spacing w:val="0"/>
          <w:szCs w:val="24"/>
          <w:rtl/>
        </w:rPr>
        <w:t>הפלסטינית</w:t>
      </w:r>
      <w:r w:rsidRPr="00643EF4">
        <w:rPr>
          <w:rFonts w:ascii="Century" w:hAnsi="Century" w:cs="Miriam"/>
          <w:b/>
          <w:spacing w:val="0"/>
          <w:szCs w:val="24"/>
          <w:rtl/>
        </w:rPr>
        <w:t xml:space="preserve"> </w:t>
      </w:r>
      <w:r w:rsidRPr="00643EF4">
        <w:rPr>
          <w:rFonts w:ascii="Century" w:hAnsi="Century" w:cs="Miriam" w:hint="eastAsia"/>
          <w:b/>
          <w:spacing w:val="0"/>
          <w:szCs w:val="24"/>
          <w:rtl/>
        </w:rPr>
        <w:t>נ</w:t>
      </w:r>
      <w:r w:rsidRPr="00643EF4">
        <w:rPr>
          <w:rFonts w:ascii="Century" w:hAnsi="Century" w:cs="Miriam"/>
          <w:b/>
          <w:spacing w:val="0"/>
          <w:szCs w:val="24"/>
          <w:rtl/>
        </w:rPr>
        <w:t xml:space="preserve">' </w:t>
      </w:r>
      <w:r w:rsidRPr="00643EF4">
        <w:rPr>
          <w:rFonts w:ascii="Century" w:hAnsi="Century" w:cs="Miriam" w:hint="eastAsia"/>
          <w:b/>
          <w:spacing w:val="0"/>
          <w:szCs w:val="24"/>
          <w:rtl/>
        </w:rPr>
        <w:t>נציב</w:t>
      </w:r>
      <w:r w:rsidRPr="00643EF4">
        <w:rPr>
          <w:rFonts w:ascii="Century" w:hAnsi="Century" w:cs="Miriam"/>
          <w:b/>
          <w:spacing w:val="0"/>
          <w:szCs w:val="24"/>
          <w:rtl/>
        </w:rPr>
        <w:t xml:space="preserve"> </w:t>
      </w:r>
      <w:r w:rsidRPr="00643EF4">
        <w:rPr>
          <w:rFonts w:ascii="Century" w:hAnsi="Century" w:cs="Miriam" w:hint="eastAsia"/>
          <w:b/>
          <w:spacing w:val="0"/>
          <w:szCs w:val="24"/>
          <w:rtl/>
        </w:rPr>
        <w:t>שירות</w:t>
      </w:r>
      <w:r w:rsidRPr="00643EF4">
        <w:rPr>
          <w:rFonts w:ascii="Century" w:hAnsi="Century" w:cs="Miriam"/>
          <w:b/>
          <w:spacing w:val="0"/>
          <w:szCs w:val="24"/>
          <w:rtl/>
        </w:rPr>
        <w:t xml:space="preserve"> </w:t>
      </w:r>
      <w:r w:rsidRPr="00643EF4">
        <w:rPr>
          <w:rFonts w:ascii="Century" w:hAnsi="Century" w:cs="Miriam" w:hint="eastAsia"/>
          <w:b/>
          <w:spacing w:val="0"/>
          <w:szCs w:val="24"/>
          <w:rtl/>
        </w:rPr>
        <w:t>בתי</w:t>
      </w:r>
      <w:r w:rsidRPr="00643EF4">
        <w:rPr>
          <w:rFonts w:ascii="Century" w:hAnsi="Century" w:cs="Miriam"/>
          <w:b/>
          <w:spacing w:val="0"/>
          <w:szCs w:val="24"/>
          <w:rtl/>
        </w:rPr>
        <w:t xml:space="preserve"> </w:t>
      </w:r>
      <w:r w:rsidRPr="00643EF4">
        <w:rPr>
          <w:rFonts w:ascii="Century" w:hAnsi="Century" w:cs="Miriam" w:hint="eastAsia"/>
          <w:b/>
          <w:spacing w:val="0"/>
          <w:szCs w:val="24"/>
          <w:rtl/>
        </w:rPr>
        <w:t>הסוהר</w:t>
      </w:r>
      <w:r w:rsidRPr="00643EF4">
        <w:rPr>
          <w:rFonts w:ascii="Century" w:hAnsi="Century" w:cs="Miriam" w:hint="cs"/>
          <w:b/>
          <w:spacing w:val="0"/>
          <w:szCs w:val="24"/>
          <w:rtl/>
        </w:rPr>
        <w:t xml:space="preserve"> </w:t>
      </w:r>
      <w:r w:rsidRPr="00643EF4">
        <w:rPr>
          <w:rFonts w:hint="cs"/>
          <w:rtl/>
        </w:rPr>
        <w:t xml:space="preserve">(23.2.2011). </w:t>
      </w:r>
    </w:p>
    <w:p w14:paraId="0EB80CB4" w14:textId="77777777" w:rsidR="000E5D20" w:rsidRPr="00643EF4" w:rsidRDefault="000E5D20" w:rsidP="000E5D20">
      <w:pPr>
        <w:pStyle w:val="Ruller41"/>
        <w:rPr>
          <w:rtl/>
        </w:rPr>
      </w:pPr>
    </w:p>
    <w:p w14:paraId="7BA2E1B9" w14:textId="77777777" w:rsidR="00074EA3" w:rsidRPr="00643EF4" w:rsidRDefault="00074EA3" w:rsidP="000E5D20">
      <w:pPr>
        <w:pStyle w:val="Ruller41"/>
        <w:rPr>
          <w:rFonts w:ascii="Century" w:hAnsi="Century" w:cs="Miriam"/>
          <w:b/>
          <w:spacing w:val="0"/>
          <w:szCs w:val="24"/>
          <w:rtl/>
        </w:rPr>
      </w:pPr>
    </w:p>
    <w:p w14:paraId="00C8B62A" w14:textId="77777777" w:rsidR="00074EA3" w:rsidRPr="00643EF4" w:rsidRDefault="00074EA3" w:rsidP="000E5D20">
      <w:pPr>
        <w:pStyle w:val="Ruller41"/>
        <w:rPr>
          <w:rFonts w:ascii="Century" w:hAnsi="Century" w:cs="Miriam"/>
          <w:b/>
          <w:spacing w:val="0"/>
          <w:szCs w:val="24"/>
          <w:rtl/>
        </w:rPr>
      </w:pPr>
    </w:p>
    <w:p w14:paraId="45CC0C9D" w14:textId="3B8F3A9F"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הפגיעה בזכויות החוקתיות</w:t>
      </w:r>
    </w:p>
    <w:p w14:paraId="400CB7DB" w14:textId="77777777" w:rsidR="000E5D20" w:rsidRPr="00643EF4" w:rsidRDefault="000E5D20" w:rsidP="000E5D20">
      <w:pPr>
        <w:pStyle w:val="Ruller41"/>
        <w:rPr>
          <w:rFonts w:ascii="Century" w:hAnsi="Century"/>
          <w:rtl/>
        </w:rPr>
      </w:pPr>
      <w:bookmarkStart w:id="5" w:name="_ETM_Q1_3473957"/>
      <w:bookmarkEnd w:id="5"/>
    </w:p>
    <w:p w14:paraId="42F617B6" w14:textId="77777777" w:rsidR="000E5D20" w:rsidRPr="00643EF4" w:rsidRDefault="000E5D20" w:rsidP="000E5D20">
      <w:pPr>
        <w:pStyle w:val="Ruller4"/>
        <w:tabs>
          <w:tab w:val="num" w:pos="10307"/>
        </w:tabs>
        <w:rPr>
          <w:rtl/>
        </w:rPr>
      </w:pPr>
      <w:r w:rsidRPr="00643EF4">
        <w:rPr>
          <w:rFonts w:hint="cs"/>
          <w:rtl/>
        </w:rPr>
        <w:t xml:space="preserve">השאלה הראשונה שיש לבחון בתהליך הבחינה החוקתית היא האם חוק ההסדרה פוגע בזכויות יסוד חוקתיות? שאלה זו תיבחן תוך התייחסות לזכויות היסוד המוגנות מכוח חוק-יסוד: כבוד האדם וחירותו והיא מתמקדת בשתי זכויות עיקריות </w:t>
      </w:r>
      <w:r w:rsidRPr="00643EF4">
        <w:rPr>
          <w:rtl/>
        </w:rPr>
        <w:t>–</w:t>
      </w:r>
      <w:r w:rsidRPr="00643EF4">
        <w:rPr>
          <w:rFonts w:hint="cs"/>
          <w:rtl/>
        </w:rPr>
        <w:t xml:space="preserve"> הזכות לקניין והזכות לשוויון. </w:t>
      </w:r>
      <w:r w:rsidRPr="00643EF4">
        <w:rPr>
          <w:rtl/>
        </w:rPr>
        <w:t xml:space="preserve"> </w:t>
      </w:r>
    </w:p>
    <w:p w14:paraId="75F88212" w14:textId="77777777" w:rsidR="000E5D20" w:rsidRPr="00643EF4" w:rsidRDefault="000E5D20" w:rsidP="000E5D20">
      <w:pPr>
        <w:pStyle w:val="Ruller41"/>
        <w:rPr>
          <w:rFonts w:ascii="Century" w:hAnsi="Century" w:cs="Miriam"/>
          <w:b/>
          <w:spacing w:val="0"/>
          <w:szCs w:val="24"/>
          <w:rtl/>
        </w:rPr>
      </w:pPr>
    </w:p>
    <w:p w14:paraId="59A2EE63"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הזכות לקניין </w:t>
      </w:r>
    </w:p>
    <w:p w14:paraId="5AA043EC" w14:textId="77777777" w:rsidR="000E5D20" w:rsidRPr="00643EF4" w:rsidRDefault="000E5D20" w:rsidP="000E5D20">
      <w:pPr>
        <w:pStyle w:val="Ruller41"/>
        <w:rPr>
          <w:rtl/>
        </w:rPr>
      </w:pPr>
    </w:p>
    <w:p w14:paraId="515AAD85" w14:textId="77777777" w:rsidR="000E5D20" w:rsidRPr="00643EF4" w:rsidRDefault="000E5D20" w:rsidP="000E5D20">
      <w:pPr>
        <w:pStyle w:val="Ruller4"/>
        <w:tabs>
          <w:tab w:val="num" w:pos="10307"/>
        </w:tabs>
      </w:pPr>
      <w:r w:rsidRPr="00643EF4">
        <w:rPr>
          <w:rFonts w:hint="cs"/>
          <w:rtl/>
        </w:rPr>
        <w:t xml:space="preserve">על מעמדה של זכות הקניין במשפט הישראלי אין צורך להכביר מילים. זכות זו הוכרה כזכות יסוד בשיטתנו המשפטית עוד טרם חקיקת חוק היסוד (ראו ע"א 377/79 </w:t>
      </w:r>
      <w:r w:rsidRPr="00643EF4">
        <w:rPr>
          <w:rFonts w:cs="Miriam" w:hint="cs"/>
          <w:spacing w:val="0"/>
          <w:szCs w:val="24"/>
          <w:rtl/>
        </w:rPr>
        <w:t xml:space="preserve">פייצר נ' </w:t>
      </w:r>
      <w:r w:rsidRPr="00643EF4">
        <w:rPr>
          <w:rFonts w:cs="Miriam" w:hint="cs"/>
          <w:b/>
          <w:spacing w:val="0"/>
          <w:szCs w:val="24"/>
          <w:rtl/>
        </w:rPr>
        <w:t>הוועדה המקומית לתכנון ולבניה רמת-גן</w:t>
      </w:r>
      <w:r w:rsidRPr="00643EF4">
        <w:rPr>
          <w:rFonts w:hint="cs"/>
          <w:rtl/>
        </w:rPr>
        <w:t xml:space="preserve">, פ"ד לה(3) 645, 656 (1981); ע"א 524/88 </w:t>
      </w:r>
      <w:r w:rsidRPr="00643EF4">
        <w:rPr>
          <w:rFonts w:cs="Miriam" w:hint="cs"/>
          <w:spacing w:val="0"/>
          <w:szCs w:val="24"/>
          <w:rtl/>
        </w:rPr>
        <w:t xml:space="preserve">"פרי העמק" – אגודה חקלאית שיתופית בע"מ נ' שדה יעקב </w:t>
      </w:r>
      <w:r w:rsidRPr="00643EF4">
        <w:rPr>
          <w:rFonts w:cs="Miriam"/>
          <w:spacing w:val="0"/>
          <w:szCs w:val="24"/>
          <w:rtl/>
        </w:rPr>
        <w:t>–</w:t>
      </w:r>
      <w:r w:rsidRPr="00643EF4">
        <w:rPr>
          <w:rFonts w:cs="Miriam" w:hint="cs"/>
          <w:spacing w:val="0"/>
          <w:szCs w:val="24"/>
          <w:rtl/>
        </w:rPr>
        <w:t xml:space="preserve"> מושב עובדים של הפועל המזרחי להתיישבות חקלאית שיתופית בע"מ</w:t>
      </w:r>
      <w:r w:rsidRPr="00643EF4">
        <w:rPr>
          <w:rFonts w:hint="cs"/>
          <w:rtl/>
        </w:rPr>
        <w:t xml:space="preserve">, פ"ד מה(4) 529, 546 (1991)), והיא זכתה למעמד חוקתי על-חוקי עם חקיקת חוק היסוד, הקובע בסעיף 3 כי </w:t>
      </w:r>
      <w:r w:rsidRPr="00643EF4">
        <w:rPr>
          <w:rFonts w:ascii="Century" w:hAnsi="Century" w:hint="cs"/>
          <w:sz w:val="22"/>
          <w:rtl/>
        </w:rPr>
        <w:t>"אין פוגעים בקנינו של אדם" (</w:t>
      </w:r>
      <w:r w:rsidRPr="00643EF4">
        <w:rPr>
          <w:rFonts w:hint="cs"/>
          <w:rtl/>
        </w:rPr>
        <w:t xml:space="preserve">ע"א 6821/93 </w:t>
      </w:r>
      <w:r w:rsidRPr="00643EF4">
        <w:rPr>
          <w:rFonts w:cs="Miriam" w:hint="cs"/>
          <w:spacing w:val="0"/>
          <w:szCs w:val="24"/>
          <w:rtl/>
        </w:rPr>
        <w:t>בנק המזרחי המאוחד בע"מ נ' מגדל כפר שיתופי</w:t>
      </w:r>
      <w:r w:rsidRPr="00643EF4">
        <w:rPr>
          <w:rFonts w:hint="cs"/>
          <w:rtl/>
        </w:rPr>
        <w:t xml:space="preserve">, פ"ד מט(4) 221, 431 (1995); עע"ם 5839/06 </w:t>
      </w:r>
      <w:r w:rsidRPr="00643EF4">
        <w:rPr>
          <w:rFonts w:cs="Miriam" w:hint="cs"/>
          <w:spacing w:val="0"/>
          <w:szCs w:val="24"/>
          <w:rtl/>
        </w:rPr>
        <w:t>בראון נ' יו"ר הועדה המחוזית לתכנון ובניה, מחוז המרכז</w:t>
      </w:r>
      <w:r w:rsidRPr="00643EF4">
        <w:rPr>
          <w:rFonts w:hint="cs"/>
          <w:rtl/>
        </w:rPr>
        <w:t xml:space="preserve">, פסקה 9 (25.9.2008)). </w:t>
      </w:r>
    </w:p>
    <w:p w14:paraId="1EBF99AA" w14:textId="77777777" w:rsidR="000E5D20" w:rsidRPr="00643EF4" w:rsidRDefault="000E5D20" w:rsidP="000E5D20">
      <w:pPr>
        <w:pStyle w:val="Ruller4"/>
        <w:numPr>
          <w:ilvl w:val="0"/>
          <w:numId w:val="0"/>
        </w:numPr>
      </w:pPr>
    </w:p>
    <w:p w14:paraId="3776DA23" w14:textId="30928FF8" w:rsidR="000E5D20" w:rsidRPr="00643EF4" w:rsidRDefault="000E5D20" w:rsidP="00F24D9F">
      <w:pPr>
        <w:pStyle w:val="Ruller4"/>
        <w:rPr>
          <w:rtl/>
        </w:rPr>
      </w:pPr>
      <w:r w:rsidRPr="00643EF4">
        <w:rPr>
          <w:rFonts w:hint="cs"/>
          <w:rtl/>
        </w:rPr>
        <w:lastRenderedPageBreak/>
        <w:t xml:space="preserve">ההגנה על זכות הקניין כמשמעותה בחוק היסוד, משתרעת גם על זכויות אובליגטוריות בעלות ערך רכושי (עניין </w:t>
      </w:r>
      <w:r w:rsidRPr="00643EF4">
        <w:rPr>
          <w:rFonts w:ascii="Century" w:hAnsi="Century" w:cs="Miriam" w:hint="cs"/>
          <w:b/>
          <w:spacing w:val="0"/>
          <w:sz w:val="22"/>
          <w:szCs w:val="24"/>
          <w:rtl/>
        </w:rPr>
        <w:t>חוף עזה</w:t>
      </w:r>
      <w:r w:rsidRPr="00643EF4">
        <w:rPr>
          <w:rFonts w:ascii="Century" w:hAnsi="Century" w:hint="cs"/>
          <w:sz w:val="22"/>
          <w:rtl/>
        </w:rPr>
        <w:t>, בעמ' 583</w:t>
      </w:r>
      <w:r w:rsidR="00F24D9F" w:rsidRPr="00643EF4">
        <w:rPr>
          <w:rFonts w:ascii="Century" w:hAnsi="Century" w:hint="cs"/>
          <w:sz w:val="22"/>
          <w:rtl/>
        </w:rPr>
        <w:t xml:space="preserve">; </w:t>
      </w:r>
      <w:r w:rsidR="00F24D9F" w:rsidRPr="00643EF4">
        <w:rPr>
          <w:rFonts w:ascii="Century" w:hAnsi="Century"/>
          <w:sz w:val="22"/>
          <w:rtl/>
        </w:rPr>
        <w:t>בג</w:t>
      </w:r>
      <w:r w:rsidR="00F24D9F" w:rsidRPr="00643EF4">
        <w:rPr>
          <w:rFonts w:ascii="Century" w:hAnsi="Century" w:hint="cs"/>
          <w:sz w:val="22"/>
          <w:rtl/>
        </w:rPr>
        <w:t>"</w:t>
      </w:r>
      <w:r w:rsidR="00F24D9F" w:rsidRPr="00643EF4">
        <w:rPr>
          <w:rFonts w:ascii="Century" w:hAnsi="Century"/>
          <w:sz w:val="22"/>
          <w:rtl/>
        </w:rPr>
        <w:t>ץ 2293/17 ‏</w:t>
      </w:r>
      <w:r w:rsidR="00F24D9F" w:rsidRPr="00643EF4">
        <w:rPr>
          <w:rFonts w:ascii="Century" w:hAnsi="Century" w:cs="Miriam"/>
          <w:b/>
          <w:spacing w:val="0"/>
          <w:sz w:val="22"/>
          <w:szCs w:val="24"/>
          <w:rtl/>
        </w:rPr>
        <w:t xml:space="preserve">גרסגהר נ' </w:t>
      </w:r>
      <w:r w:rsidR="00F24D9F" w:rsidRPr="00643EF4">
        <w:rPr>
          <w:rFonts w:ascii="Century" w:hAnsi="Century" w:cs="Miriam" w:hint="cs"/>
          <w:b/>
          <w:spacing w:val="0"/>
          <w:sz w:val="22"/>
          <w:szCs w:val="24"/>
          <w:rtl/>
        </w:rPr>
        <w:t>ה</w:t>
      </w:r>
      <w:r w:rsidR="00F24D9F" w:rsidRPr="00643EF4">
        <w:rPr>
          <w:rFonts w:ascii="Century" w:hAnsi="Century" w:cs="Miriam"/>
          <w:b/>
          <w:spacing w:val="0"/>
          <w:sz w:val="22"/>
          <w:szCs w:val="24"/>
          <w:rtl/>
        </w:rPr>
        <w:t>כנסת</w:t>
      </w:r>
      <w:r w:rsidR="00F24D9F" w:rsidRPr="00643EF4">
        <w:rPr>
          <w:rFonts w:ascii="Century" w:hAnsi="Century" w:hint="cs"/>
          <w:sz w:val="22"/>
          <w:rtl/>
        </w:rPr>
        <w:t>, פסקה 24 לחוות דעתי</w:t>
      </w:r>
      <w:r w:rsidR="00F24D9F" w:rsidRPr="00643EF4">
        <w:rPr>
          <w:rFonts w:hint="cs"/>
          <w:rtl/>
        </w:rPr>
        <w:t xml:space="preserve"> (23.4.2020) (להלן: </w:t>
      </w:r>
      <w:r w:rsidR="00F24D9F" w:rsidRPr="00643EF4">
        <w:rPr>
          <w:rFonts w:ascii="Century" w:hAnsi="Century" w:cs="Miriam" w:hint="cs"/>
          <w:b/>
          <w:spacing w:val="0"/>
          <w:sz w:val="22"/>
          <w:szCs w:val="24"/>
          <w:rtl/>
        </w:rPr>
        <w:t>עניין הפיקדון</w:t>
      </w:r>
      <w:r w:rsidR="00F24D9F" w:rsidRPr="00643EF4">
        <w:rPr>
          <w:rFonts w:hint="cs"/>
          <w:rtl/>
        </w:rPr>
        <w:t>)</w:t>
      </w:r>
      <w:r w:rsidRPr="00643EF4">
        <w:rPr>
          <w:rFonts w:hint="cs"/>
          <w:rtl/>
        </w:rPr>
        <w:t>)</w:t>
      </w:r>
      <w:r w:rsidR="00BA1110" w:rsidRPr="00643EF4">
        <w:rPr>
          <w:rFonts w:hint="cs"/>
          <w:rtl/>
        </w:rPr>
        <w:t>,</w:t>
      </w:r>
      <w:r w:rsidRPr="00643EF4">
        <w:rPr>
          <w:rFonts w:hint="cs"/>
          <w:rtl/>
        </w:rPr>
        <w:t xml:space="preserve"> ובעשורים האחרונים ניכרת מגמה שעיקרה הגברת היקף ההגנה על הזכות לקניין פרטי, מקום שבו מדובר בנטילת מקרקעין (</w:t>
      </w:r>
      <w:r w:rsidRPr="00643EF4">
        <w:rPr>
          <w:rFonts w:ascii="Century" w:hAnsi="Century" w:hint="cs"/>
          <w:sz w:val="22"/>
          <w:rtl/>
        </w:rPr>
        <w:t xml:space="preserve">ע"א 8622/07 </w:t>
      </w:r>
      <w:r w:rsidRPr="00643EF4">
        <w:rPr>
          <w:rFonts w:ascii="Century" w:hAnsi="Century" w:cs="Miriam" w:hint="cs"/>
          <w:b/>
          <w:spacing w:val="0"/>
          <w:sz w:val="22"/>
          <w:szCs w:val="24"/>
          <w:rtl/>
        </w:rPr>
        <w:t xml:space="preserve">רוטמן נ' מע"צ </w:t>
      </w:r>
      <w:r w:rsidRPr="00643EF4">
        <w:rPr>
          <w:rFonts w:ascii="Century" w:hAnsi="Century" w:cs="Miriam"/>
          <w:b/>
          <w:spacing w:val="0"/>
          <w:sz w:val="22"/>
          <w:szCs w:val="24"/>
          <w:rtl/>
        </w:rPr>
        <w:t>–</w:t>
      </w:r>
      <w:r w:rsidRPr="00643EF4">
        <w:rPr>
          <w:rFonts w:ascii="Century" w:hAnsi="Century" w:cs="Miriam" w:hint="cs"/>
          <w:b/>
          <w:spacing w:val="0"/>
          <w:sz w:val="22"/>
          <w:szCs w:val="24"/>
          <w:rtl/>
        </w:rPr>
        <w:t xml:space="preserve"> החברה הלאומית לדרכים בישראל</w:t>
      </w:r>
      <w:r w:rsidRPr="00643EF4">
        <w:rPr>
          <w:rFonts w:ascii="Century" w:hAnsi="Century" w:hint="cs"/>
          <w:sz w:val="22"/>
          <w:rtl/>
        </w:rPr>
        <w:t xml:space="preserve">, </w:t>
      </w:r>
      <w:r w:rsidRPr="00643EF4">
        <w:rPr>
          <w:rFonts w:hint="cs"/>
          <w:rtl/>
        </w:rPr>
        <w:t xml:space="preserve">פסקה 63 (14.5.2012) (להלן: עניין </w:t>
      </w:r>
      <w:r w:rsidRPr="00643EF4">
        <w:rPr>
          <w:rFonts w:ascii="Century" w:hAnsi="Century" w:cs="Miriam" w:hint="cs"/>
          <w:b/>
          <w:spacing w:val="0"/>
          <w:sz w:val="22"/>
          <w:szCs w:val="24"/>
          <w:rtl/>
        </w:rPr>
        <w:t>רוטמן</w:t>
      </w:r>
      <w:r w:rsidRPr="00643EF4">
        <w:rPr>
          <w:rFonts w:hint="cs"/>
          <w:rtl/>
        </w:rPr>
        <w:t xml:space="preserve">); בג"ץ 2390/96 </w:t>
      </w:r>
      <w:r w:rsidRPr="00643EF4">
        <w:rPr>
          <w:rFonts w:cs="Miriam" w:hint="cs"/>
          <w:b/>
          <w:spacing w:val="0"/>
          <w:szCs w:val="24"/>
          <w:rtl/>
        </w:rPr>
        <w:t>קרסיק נ' מינהל מקרקעי ישראל</w:t>
      </w:r>
      <w:r w:rsidRPr="00643EF4">
        <w:rPr>
          <w:rFonts w:hint="cs"/>
          <w:rtl/>
        </w:rPr>
        <w:t xml:space="preserve">, פ"ד נה(2) 625, 639-638 (2001) (להלן: עניין </w:t>
      </w:r>
      <w:r w:rsidRPr="00643EF4">
        <w:rPr>
          <w:rFonts w:ascii="Century" w:hAnsi="Century" w:cs="Miriam" w:hint="cs"/>
          <w:b/>
          <w:spacing w:val="0"/>
          <w:sz w:val="22"/>
          <w:szCs w:val="24"/>
          <w:rtl/>
        </w:rPr>
        <w:t>קרסיק</w:t>
      </w:r>
      <w:r w:rsidRPr="00643EF4">
        <w:rPr>
          <w:rFonts w:ascii="Century" w:hAnsi="Century" w:hint="cs"/>
          <w:sz w:val="22"/>
          <w:rtl/>
        </w:rPr>
        <w:t>)</w:t>
      </w:r>
      <w:r w:rsidRPr="00643EF4">
        <w:rPr>
          <w:rFonts w:hint="cs"/>
          <w:rtl/>
        </w:rPr>
        <w:t xml:space="preserve">). על הטעמים לכך עמד השופט </w:t>
      </w:r>
      <w:r w:rsidRPr="00643EF4">
        <w:rPr>
          <w:rFonts w:ascii="Century" w:hAnsi="Century" w:cs="Miriam" w:hint="cs"/>
          <w:b/>
          <w:spacing w:val="0"/>
          <w:sz w:val="22"/>
          <w:szCs w:val="24"/>
          <w:rtl/>
        </w:rPr>
        <w:t>י' טירקל</w:t>
      </w:r>
      <w:r w:rsidRPr="00643EF4">
        <w:rPr>
          <w:rFonts w:hint="cs"/>
          <w:rtl/>
        </w:rPr>
        <w:t xml:space="preserve"> בדנ"א 1333/02 </w:t>
      </w:r>
      <w:r w:rsidRPr="00643EF4">
        <w:rPr>
          <w:rFonts w:cs="Miriam" w:hint="cs"/>
          <w:b/>
          <w:spacing w:val="0"/>
          <w:szCs w:val="24"/>
          <w:rtl/>
        </w:rPr>
        <w:t>הוועדה המקומית לתכנון ולבנייה, רעננה נ' הורוויץ</w:t>
      </w:r>
      <w:r w:rsidRPr="00643EF4">
        <w:rPr>
          <w:rFonts w:hint="cs"/>
          <w:rtl/>
        </w:rPr>
        <w:t>, פ"ד נח(6) 289 (2004)</w:t>
      </w:r>
      <w:r w:rsidRPr="00643EF4">
        <w:rPr>
          <w:rFonts w:ascii="Century" w:hAnsi="Century" w:hint="cs"/>
          <w:rtl/>
        </w:rPr>
        <w:t xml:space="preserve"> ב</w:t>
      </w:r>
      <w:r w:rsidRPr="00643EF4">
        <w:rPr>
          <w:rFonts w:hint="cs"/>
          <w:rtl/>
        </w:rPr>
        <w:t xml:space="preserve">ציינו: </w:t>
      </w:r>
    </w:p>
    <w:p w14:paraId="659B4036" w14:textId="77777777" w:rsidR="000E5D20" w:rsidRPr="00643EF4" w:rsidRDefault="000E5D20" w:rsidP="000E5D20">
      <w:pPr>
        <w:pStyle w:val="Ruller41"/>
        <w:rPr>
          <w:rtl/>
        </w:rPr>
      </w:pPr>
    </w:p>
    <w:p w14:paraId="0FFB4D1C" w14:textId="77777777" w:rsidR="000E5D20" w:rsidRPr="00643EF4" w:rsidRDefault="000E5D20" w:rsidP="000E5D20">
      <w:pPr>
        <w:pStyle w:val="Ruller5"/>
        <w:rPr>
          <w:rFonts w:ascii="Century" w:hAnsi="Century" w:cs="Arial"/>
          <w:sz w:val="20"/>
          <w:szCs w:val="20"/>
          <w:rtl/>
        </w:rPr>
      </w:pPr>
      <w:r w:rsidRPr="00643EF4">
        <w:rPr>
          <w:rFonts w:ascii="Century" w:hAnsi="Century" w:hint="cs"/>
          <w:sz w:val="20"/>
          <w:rtl/>
        </w:rPr>
        <w:t>"כאשר מדובר בקניין שבמקרקעין בהקשר כזה מדובר בדרך-כלל במצבור עמלו של אדם במשך ימי חייו, בתקוותו ובמשענו לעת זקנה ובירושה שהוא מבקש להוריש לילדיו על-מנת שחייהם יהיו טובים ונוחים משלו. לפגיעה בקניין פרטי שכזה יש משקל גדול במיוחד לגבי האדם הנפגע" (</w:t>
      </w:r>
      <w:r w:rsidRPr="00643EF4">
        <w:rPr>
          <w:rFonts w:ascii="Century" w:hAnsi="Century" w:cs="Miriam" w:hint="cs"/>
          <w:b/>
          <w:spacing w:val="0"/>
          <w:szCs w:val="24"/>
          <w:rtl/>
        </w:rPr>
        <w:t>שם</w:t>
      </w:r>
      <w:r w:rsidRPr="00643EF4">
        <w:rPr>
          <w:rFonts w:ascii="Century" w:hAnsi="Century" w:hint="cs"/>
          <w:sz w:val="20"/>
          <w:rtl/>
        </w:rPr>
        <w:t xml:space="preserve">, בעמ' </w:t>
      </w:r>
      <w:r w:rsidRPr="00643EF4">
        <w:rPr>
          <w:rFonts w:hint="cs"/>
          <w:rtl/>
        </w:rPr>
        <w:t xml:space="preserve">335). </w:t>
      </w:r>
    </w:p>
    <w:p w14:paraId="36C9D775" w14:textId="77777777" w:rsidR="000E5D20" w:rsidRPr="00643EF4" w:rsidRDefault="000E5D20" w:rsidP="000E5D20">
      <w:pPr>
        <w:pStyle w:val="Ruller41"/>
      </w:pPr>
    </w:p>
    <w:p w14:paraId="785B6464" w14:textId="77777777" w:rsidR="000E5D20" w:rsidRPr="00643EF4" w:rsidRDefault="000E5D20" w:rsidP="000E5D20">
      <w:pPr>
        <w:pStyle w:val="Ruller4"/>
        <w:numPr>
          <w:ilvl w:val="0"/>
          <w:numId w:val="0"/>
        </w:numPr>
      </w:pPr>
      <w:r w:rsidRPr="00643EF4">
        <w:rPr>
          <w:rtl/>
        </w:rPr>
        <w:tab/>
      </w:r>
      <w:r w:rsidRPr="00643EF4">
        <w:rPr>
          <w:rFonts w:ascii="Century" w:hAnsi="Century" w:hint="cs"/>
          <w:sz w:val="22"/>
          <w:rtl/>
        </w:rPr>
        <w:t xml:space="preserve">אכן, מקרקעין של אדם הם פעמים רבות נכס רב משמעות עבורו ושלילתם עלולה לפגוע בו לא רק בשל הפגיעה הכלכלית הגלומה בכך אלא גם בשל הזיקה והקשר שהפרט מפתח כלפי מקרקעין שהם קניינו (עניין </w:t>
      </w:r>
      <w:r w:rsidRPr="00643EF4">
        <w:rPr>
          <w:rFonts w:ascii="Century" w:hAnsi="Century" w:cs="Miriam" w:hint="cs"/>
          <w:b/>
          <w:spacing w:val="0"/>
          <w:sz w:val="22"/>
          <w:szCs w:val="24"/>
          <w:rtl/>
        </w:rPr>
        <w:t>רוטמן</w:t>
      </w:r>
      <w:r w:rsidRPr="00643EF4">
        <w:rPr>
          <w:rFonts w:ascii="Century" w:hAnsi="Century" w:hint="cs"/>
          <w:sz w:val="22"/>
          <w:rtl/>
        </w:rPr>
        <w:t xml:space="preserve">, פסקה 65). </w:t>
      </w:r>
      <w:r w:rsidRPr="00643EF4">
        <w:rPr>
          <w:rtl/>
        </w:rPr>
        <w:br/>
      </w:r>
    </w:p>
    <w:p w14:paraId="652735B4" w14:textId="77777777" w:rsidR="000E5D20" w:rsidRPr="00643EF4" w:rsidRDefault="000E5D20" w:rsidP="000E5D20">
      <w:pPr>
        <w:pStyle w:val="Ruller4"/>
        <w:tabs>
          <w:tab w:val="num" w:pos="10307"/>
        </w:tabs>
      </w:pPr>
      <w:r w:rsidRPr="00643EF4">
        <w:rPr>
          <w:rFonts w:hint="cs"/>
          <w:rtl/>
        </w:rPr>
        <w:t xml:space="preserve">זכות הקניין מוכרת גם במשפט הבינלאומי ובדיני התפיסה הלוחמתית החלים באזור (ראו, בין רבים: </w:t>
      </w:r>
      <w:r w:rsidRPr="00643EF4">
        <w:rPr>
          <w:rFonts w:ascii="Century" w:hAnsi="Century" w:hint="cs"/>
          <w:sz w:val="22"/>
          <w:rtl/>
        </w:rPr>
        <w:t>בג</w:t>
      </w:r>
      <w:r w:rsidRPr="00643EF4">
        <w:rPr>
          <w:rFonts w:hint="cs"/>
          <w:rtl/>
        </w:rPr>
        <w:t xml:space="preserve">"ץ 1890/03 </w:t>
      </w:r>
      <w:r w:rsidRPr="00643EF4">
        <w:rPr>
          <w:rFonts w:ascii="Century" w:hAnsi="Century" w:cs="Miriam" w:hint="cs"/>
          <w:b/>
          <w:spacing w:val="0"/>
          <w:sz w:val="22"/>
          <w:szCs w:val="24"/>
          <w:rtl/>
        </w:rPr>
        <w:t>עיריית בית לחם נ' משרד הביטחון</w:t>
      </w:r>
      <w:r w:rsidRPr="00643EF4">
        <w:rPr>
          <w:rFonts w:ascii="Century" w:hAnsi="Century" w:hint="cs"/>
          <w:sz w:val="22"/>
          <w:rtl/>
        </w:rPr>
        <w:t xml:space="preserve">, פ"ד נט(4) 736, </w:t>
      </w:r>
      <w:r w:rsidRPr="00643EF4">
        <w:rPr>
          <w:rFonts w:hint="cs"/>
          <w:rtl/>
        </w:rPr>
        <w:t>766-765 (2005)</w:t>
      </w:r>
      <w:r w:rsidRPr="00643EF4">
        <w:rPr>
          <w:rFonts w:ascii="Century" w:hAnsi="Century" w:hint="cs"/>
          <w:sz w:val="22"/>
          <w:rtl/>
        </w:rPr>
        <w:t xml:space="preserve">; להרחבה באשר למקורות ההיסטוריים של חובה זו ראו </w:t>
      </w:r>
      <w:r w:rsidRPr="00643EF4">
        <w:rPr>
          <w:rFonts w:ascii="Century" w:hAnsi="Century"/>
          <w:smallCaps/>
          <w:sz w:val="22"/>
          <w:szCs w:val="20"/>
        </w:rPr>
        <w:t>Eyal Benvenisti, The International Law of Occupation</w:t>
      </w:r>
      <w:r w:rsidRPr="00643EF4">
        <w:rPr>
          <w:rFonts w:ascii="Century" w:hAnsi="Century"/>
          <w:sz w:val="22"/>
          <w:szCs w:val="20"/>
        </w:rPr>
        <w:t>, 22-35 (2012)</w:t>
      </w:r>
      <w:r w:rsidRPr="00643EF4">
        <w:rPr>
          <w:rFonts w:hint="cs"/>
          <w:rtl/>
        </w:rPr>
        <w:t>). העוגן המרכזי בדיני התפיסה הלוחמתית המינהגיים שעליו מיוסדת ההגנה על הזכות לקניין פרטי, הוא תקנה 46 לתקנות האג הקובעת כך:</w:t>
      </w:r>
    </w:p>
    <w:p w14:paraId="2C443174" w14:textId="77777777" w:rsidR="000E5D20" w:rsidRPr="00643EF4" w:rsidRDefault="000E5D20" w:rsidP="000E5D20">
      <w:pPr>
        <w:pStyle w:val="Ruller4"/>
        <w:numPr>
          <w:ilvl w:val="0"/>
          <w:numId w:val="0"/>
        </w:numPr>
        <w:rPr>
          <w:rFonts w:ascii="Century" w:hAnsi="Century"/>
          <w:sz w:val="22"/>
          <w:szCs w:val="22"/>
        </w:rPr>
      </w:pPr>
    </w:p>
    <w:p w14:paraId="4F29FAAB" w14:textId="77777777" w:rsidR="000E5D20" w:rsidRPr="00643EF4" w:rsidRDefault="000E5D20" w:rsidP="000E5D20">
      <w:pPr>
        <w:pStyle w:val="Ruller5"/>
        <w:bidi w:val="0"/>
        <w:rPr>
          <w:rFonts w:ascii="Century" w:hAnsi="Century"/>
          <w:szCs w:val="22"/>
          <w:rtl/>
        </w:rPr>
      </w:pPr>
      <w:r w:rsidRPr="00643EF4">
        <w:rPr>
          <w:rFonts w:ascii="Century" w:hAnsi="Century"/>
          <w:szCs w:val="22"/>
        </w:rPr>
        <w:t>"Family honour and rights, the lives of persons, and private property, as well as religious convictions and practice, must be respected. Private property cannot be confiscated".</w:t>
      </w:r>
      <w:r w:rsidRPr="00643EF4">
        <w:rPr>
          <w:rFonts w:ascii="Century" w:hAnsi="Century"/>
          <w:szCs w:val="22"/>
          <w:rtl/>
        </w:rPr>
        <w:t xml:space="preserve"> </w:t>
      </w:r>
    </w:p>
    <w:p w14:paraId="18824F8F" w14:textId="77777777" w:rsidR="000E5D20" w:rsidRPr="00643EF4" w:rsidRDefault="000E5D20" w:rsidP="000E5D20">
      <w:pPr>
        <w:pStyle w:val="Ruller4"/>
        <w:numPr>
          <w:ilvl w:val="0"/>
          <w:numId w:val="0"/>
        </w:numPr>
        <w:rPr>
          <w:rtl/>
        </w:rPr>
      </w:pPr>
    </w:p>
    <w:p w14:paraId="5A32E7D5" w14:textId="77777777" w:rsidR="000E5D20" w:rsidRPr="00643EF4" w:rsidRDefault="000E5D20" w:rsidP="000E5D20">
      <w:pPr>
        <w:pStyle w:val="Ruller41"/>
        <w:rPr>
          <w:rFonts w:ascii="Century" w:hAnsi="Century"/>
          <w:b/>
          <w:bCs/>
          <w:rtl/>
        </w:rPr>
      </w:pPr>
      <w:r w:rsidRPr="00643EF4">
        <w:rPr>
          <w:rtl/>
        </w:rPr>
        <w:tab/>
      </w:r>
      <w:r w:rsidRPr="00643EF4">
        <w:rPr>
          <w:rFonts w:hint="cs"/>
          <w:rtl/>
        </w:rPr>
        <w:t xml:space="preserve">ובתרגום חופשי: "כבוד המשפחה וזכויותיה, חיי אדם, </w:t>
      </w:r>
      <w:r w:rsidRPr="00643EF4">
        <w:rPr>
          <w:rFonts w:ascii="Times New Roman" w:hAnsi="Times New Roman" w:cs="Miriam" w:hint="cs"/>
          <w:spacing w:val="0"/>
          <w:sz w:val="28"/>
          <w:szCs w:val="24"/>
          <w:rtl/>
        </w:rPr>
        <w:t>רכוש פרטי</w:t>
      </w:r>
      <w:r w:rsidRPr="00643EF4">
        <w:rPr>
          <w:rFonts w:hint="cs"/>
          <w:rtl/>
        </w:rPr>
        <w:t xml:space="preserve">, וכן אמונות הדת ומנהגי הפולחן </w:t>
      </w:r>
      <w:r w:rsidRPr="00643EF4">
        <w:rPr>
          <w:rtl/>
        </w:rPr>
        <w:t>–</w:t>
      </w:r>
      <w:r w:rsidRPr="00643EF4">
        <w:rPr>
          <w:rFonts w:hint="cs"/>
          <w:rtl/>
        </w:rPr>
        <w:t xml:space="preserve"> יש לכבד. אין להחרים רכוש פרטי" (ההדגשה הוספה). בהסתמך על תקנה 46, חזר בית משפט זה ושנה כי המפקד הצבאי באזור מחויב להגן על קניינם של התושבים הפלסטינים </w:t>
      </w:r>
      <w:r w:rsidRPr="00643EF4">
        <w:rPr>
          <w:rtl/>
        </w:rPr>
        <w:t>–</w:t>
      </w:r>
      <w:r w:rsidRPr="00643EF4">
        <w:rPr>
          <w:rFonts w:hint="cs"/>
          <w:rtl/>
        </w:rPr>
        <w:t xml:space="preserve"> בהיותם "תושבים מוגנים". הגנה זו, כך נקבע, נושאת עמה חובה כפולה: חובה שלילית, להימנע מפעולות הפוגעות בקניינם של תושבים אלה; וחובה חיובית, לבצע פעולות המבטיחות כי קניינם לא יפגע על ידי אחרים (</w:t>
      </w:r>
      <w:r w:rsidRPr="00643EF4">
        <w:rPr>
          <w:rFonts w:ascii="Century" w:hAnsi="Century" w:hint="cs"/>
          <w:rtl/>
        </w:rPr>
        <w:t xml:space="preserve">עניין </w:t>
      </w:r>
      <w:r w:rsidRPr="00643EF4">
        <w:rPr>
          <w:rFonts w:ascii="Century" w:hAnsi="Century" w:cs="Miriam" w:hint="cs"/>
          <w:b/>
          <w:spacing w:val="0"/>
          <w:szCs w:val="24"/>
          <w:rtl/>
        </w:rPr>
        <w:t xml:space="preserve">בית </w:t>
      </w:r>
      <w:r w:rsidRPr="00643EF4">
        <w:rPr>
          <w:rFonts w:ascii="Century" w:hAnsi="Century" w:cs="Miriam" w:hint="cs"/>
          <w:b/>
          <w:spacing w:val="0"/>
          <w:szCs w:val="24"/>
          <w:rtl/>
        </w:rPr>
        <w:lastRenderedPageBreak/>
        <w:t>סוריק</w:t>
      </w:r>
      <w:r w:rsidRPr="00643EF4">
        <w:rPr>
          <w:rFonts w:ascii="Century" w:hAnsi="Century" w:hint="cs"/>
          <w:rtl/>
        </w:rPr>
        <w:t xml:space="preserve">, בעמ' 836; בג"ץ 7862/04 </w:t>
      </w:r>
      <w:r w:rsidRPr="00643EF4">
        <w:rPr>
          <w:rFonts w:ascii="Century" w:hAnsi="Century" w:cs="Miriam" w:hint="cs"/>
          <w:b/>
          <w:spacing w:val="0"/>
          <w:szCs w:val="24"/>
          <w:rtl/>
        </w:rPr>
        <w:t>אבו דאהר נ' מפקד כוחות צה"ל ביהודה ושומרון</w:t>
      </w:r>
      <w:r w:rsidRPr="00643EF4">
        <w:rPr>
          <w:rFonts w:ascii="Century" w:hAnsi="Century" w:hint="cs"/>
          <w:rtl/>
        </w:rPr>
        <w:t xml:space="preserve">, פ"ד נט(5) 368, 378-376 (2005); בג"ץ 9593/04 </w:t>
      </w:r>
      <w:r w:rsidRPr="00643EF4">
        <w:rPr>
          <w:rFonts w:ascii="Century" w:hAnsi="Century" w:cs="Miriam" w:hint="cs"/>
          <w:b/>
          <w:spacing w:val="0"/>
          <w:szCs w:val="24"/>
          <w:rtl/>
        </w:rPr>
        <w:t>מוראר נ' מפקד כוחות צה"ל ביהודה ושומרון</w:t>
      </w:r>
      <w:r w:rsidRPr="00643EF4">
        <w:rPr>
          <w:rFonts w:ascii="Century" w:hAnsi="Century" w:hint="cs"/>
          <w:rtl/>
        </w:rPr>
        <w:t xml:space="preserve">, פסקה 14 (26.6.2006) </w:t>
      </w:r>
      <w:r w:rsidRPr="00643EF4">
        <w:rPr>
          <w:rFonts w:ascii="Century" w:hAnsi="Century"/>
          <w:rtl/>
        </w:rPr>
        <w:t>(</w:t>
      </w:r>
      <w:r w:rsidRPr="00643EF4">
        <w:rPr>
          <w:rFonts w:ascii="Century" w:hAnsi="Century" w:hint="eastAsia"/>
          <w:rtl/>
        </w:rPr>
        <w:t>להלן</w:t>
      </w:r>
      <w:r w:rsidRPr="00643EF4">
        <w:rPr>
          <w:rFonts w:ascii="Century" w:hAnsi="Century"/>
          <w:rtl/>
        </w:rPr>
        <w:t xml:space="preserve">: </w:t>
      </w:r>
      <w:r w:rsidRPr="00643EF4">
        <w:rPr>
          <w:rFonts w:ascii="Century" w:hAnsi="Century" w:hint="eastAsia"/>
          <w:rtl/>
        </w:rPr>
        <w:t>עניין</w:t>
      </w:r>
      <w:r w:rsidRPr="00643EF4">
        <w:rPr>
          <w:rFonts w:ascii="Century" w:hAnsi="Century"/>
          <w:rtl/>
        </w:rPr>
        <w:t xml:space="preserve"> </w:t>
      </w:r>
      <w:r w:rsidRPr="00643EF4">
        <w:rPr>
          <w:rFonts w:ascii="Century" w:hAnsi="Century" w:cs="Miriam" w:hint="eastAsia"/>
          <w:b/>
          <w:spacing w:val="0"/>
          <w:szCs w:val="24"/>
          <w:rtl/>
        </w:rPr>
        <w:t>מוראר</w:t>
      </w:r>
      <w:r w:rsidRPr="00643EF4">
        <w:rPr>
          <w:rFonts w:ascii="Century" w:hAnsi="Century"/>
          <w:rtl/>
        </w:rPr>
        <w:t>)</w:t>
      </w:r>
      <w:r w:rsidRPr="00643EF4">
        <w:rPr>
          <w:rFonts w:ascii="Century" w:hAnsi="Century" w:hint="cs"/>
          <w:rtl/>
        </w:rPr>
        <w:t xml:space="preserve">; </w:t>
      </w:r>
      <w:r w:rsidRPr="00643EF4">
        <w:rPr>
          <w:rFonts w:hint="cs"/>
          <w:rtl/>
        </w:rPr>
        <w:t xml:space="preserve">בג"ץ 8887/06 </w:t>
      </w:r>
      <w:r w:rsidRPr="00643EF4">
        <w:rPr>
          <w:rFonts w:ascii="Century" w:hAnsi="Century" w:cs="Miriam" w:hint="cs"/>
          <w:b/>
          <w:spacing w:val="0"/>
          <w:szCs w:val="24"/>
          <w:rtl/>
        </w:rPr>
        <w:t>אל-נאבות נ' שר הביטחון</w:t>
      </w:r>
      <w:r w:rsidRPr="00643EF4">
        <w:rPr>
          <w:rFonts w:ascii="Century" w:hAnsi="Century" w:hint="cs"/>
          <w:rtl/>
        </w:rPr>
        <w:t xml:space="preserve">, פסקה 16 (2.8.2011); עניין </w:t>
      </w:r>
      <w:r w:rsidRPr="00643EF4">
        <w:rPr>
          <w:rFonts w:ascii="Century" w:hAnsi="Century" w:cs="Miriam" w:hint="cs"/>
          <w:b/>
          <w:spacing w:val="0"/>
          <w:szCs w:val="24"/>
          <w:rtl/>
        </w:rPr>
        <w:t>בית איכסא</w:t>
      </w:r>
      <w:r w:rsidRPr="00643EF4">
        <w:rPr>
          <w:rFonts w:ascii="Century" w:hAnsi="Century" w:hint="cs"/>
          <w:rtl/>
        </w:rPr>
        <w:t xml:space="preserve">, בפסקה 26; </w:t>
      </w:r>
      <w:r w:rsidRPr="00643EF4">
        <w:rPr>
          <w:rFonts w:ascii="FrankRuehl" w:hAnsi="FrankRuehl" w:hint="cs"/>
          <w:color w:val="000000"/>
          <w:sz w:val="28"/>
          <w:rtl/>
        </w:rPr>
        <w:t xml:space="preserve">בג"ץ 5665/11 </w:t>
      </w:r>
      <w:r w:rsidRPr="00643EF4">
        <w:rPr>
          <w:rFonts w:ascii="Century" w:hAnsi="Century" w:cs="Miriam" w:hint="cs"/>
          <w:b/>
          <w:spacing w:val="0"/>
          <w:szCs w:val="24"/>
          <w:rtl/>
        </w:rPr>
        <w:t>כפר אדומים כפר שיתופי להתיישבות קהילתית בע"מ נ' שר הבטחון</w:t>
      </w:r>
      <w:r w:rsidRPr="00643EF4">
        <w:rPr>
          <w:rFonts w:ascii="Century" w:hAnsi="Century" w:hint="cs"/>
          <w:rtl/>
        </w:rPr>
        <w:t>,</w:t>
      </w:r>
      <w:r w:rsidRPr="00643EF4">
        <w:rPr>
          <w:rFonts w:ascii="FrankRuehl" w:hAnsi="FrankRuehl" w:hint="cs"/>
          <w:color w:val="000000"/>
          <w:sz w:val="28"/>
          <w:rtl/>
        </w:rPr>
        <w:t xml:space="preserve"> פסקה 14</w:t>
      </w:r>
      <w:r w:rsidRPr="00643EF4">
        <w:rPr>
          <w:rFonts w:ascii="Century" w:hAnsi="Century" w:hint="cs"/>
          <w:rtl/>
        </w:rPr>
        <w:t xml:space="preserve"> (10.10.2012); </w:t>
      </w:r>
      <w:r w:rsidRPr="00643EF4">
        <w:rPr>
          <w:rFonts w:hint="cs"/>
          <w:rtl/>
        </w:rPr>
        <w:t xml:space="preserve">בג"ץ 7292/14 </w:t>
      </w:r>
      <w:r w:rsidRPr="00643EF4">
        <w:rPr>
          <w:rFonts w:ascii="Century" w:hAnsi="Century" w:cs="Miriam" w:hint="cs"/>
          <w:b/>
          <w:spacing w:val="0"/>
          <w:szCs w:val="24"/>
          <w:rtl/>
        </w:rPr>
        <w:t>מוסא נ' שר הבטחון</w:t>
      </w:r>
      <w:r w:rsidRPr="00643EF4">
        <w:rPr>
          <w:rFonts w:ascii="Century" w:hAnsi="Century" w:hint="cs"/>
          <w:rtl/>
        </w:rPr>
        <w:t>,</w:t>
      </w:r>
      <w:r w:rsidRPr="00643EF4">
        <w:rPr>
          <w:rFonts w:hint="cs"/>
          <w:rtl/>
        </w:rPr>
        <w:t xml:space="preserve"> פסקה 24 (1.9.2016)). על משמעותה של חובה זו בהיבט האקטיבי עמד בית משפט זה, בין היתר, ב</w:t>
      </w:r>
      <w:r w:rsidRPr="00643EF4">
        <w:rPr>
          <w:rFonts w:ascii="Century" w:hAnsi="Century" w:hint="cs"/>
          <w:rtl/>
        </w:rPr>
        <w:t xml:space="preserve">בג"ץ 9949/08 </w:t>
      </w:r>
      <w:r w:rsidRPr="00643EF4">
        <w:rPr>
          <w:rFonts w:ascii="Century" w:hAnsi="Century" w:cs="Miriam" w:hint="cs"/>
          <w:b/>
          <w:spacing w:val="0"/>
          <w:szCs w:val="24"/>
          <w:rtl/>
        </w:rPr>
        <w:t>חמאד נ' שר הביטחון</w:t>
      </w:r>
      <w:r w:rsidRPr="00643EF4">
        <w:rPr>
          <w:rFonts w:ascii="Century" w:hAnsi="Century" w:hint="cs"/>
          <w:rtl/>
        </w:rPr>
        <w:t xml:space="preserve"> (25.12.2014) </w:t>
      </w:r>
      <w:r w:rsidRPr="00643EF4">
        <w:rPr>
          <w:rFonts w:ascii="Century" w:hAnsi="Century"/>
          <w:rtl/>
        </w:rPr>
        <w:t>(</w:t>
      </w:r>
      <w:r w:rsidRPr="00643EF4">
        <w:rPr>
          <w:rFonts w:ascii="Century" w:hAnsi="Century" w:hint="eastAsia"/>
          <w:rtl/>
        </w:rPr>
        <w:t>להלן</w:t>
      </w:r>
      <w:r w:rsidRPr="00643EF4">
        <w:rPr>
          <w:rFonts w:ascii="Century" w:hAnsi="Century"/>
          <w:rtl/>
        </w:rPr>
        <w:t xml:space="preserve">: </w:t>
      </w:r>
      <w:r w:rsidRPr="00643EF4">
        <w:rPr>
          <w:rFonts w:ascii="Century" w:hAnsi="Century" w:hint="eastAsia"/>
          <w:rtl/>
        </w:rPr>
        <w:t>עניין</w:t>
      </w:r>
      <w:r w:rsidRPr="00643EF4">
        <w:rPr>
          <w:rFonts w:ascii="Century" w:hAnsi="Century"/>
          <w:rtl/>
        </w:rPr>
        <w:t xml:space="preserve"> </w:t>
      </w:r>
      <w:r w:rsidRPr="00643EF4">
        <w:rPr>
          <w:rFonts w:ascii="Century" w:hAnsi="Century" w:cs="Miriam" w:hint="eastAsia"/>
          <w:b/>
          <w:spacing w:val="0"/>
          <w:szCs w:val="24"/>
          <w:rtl/>
        </w:rPr>
        <w:t>חמאד</w:t>
      </w:r>
      <w:r w:rsidRPr="00643EF4">
        <w:rPr>
          <w:rFonts w:ascii="Century" w:hAnsi="Century"/>
          <w:rtl/>
        </w:rPr>
        <w:t>)</w:t>
      </w:r>
      <w:r w:rsidRPr="00643EF4">
        <w:rPr>
          <w:rFonts w:ascii="Century" w:hAnsi="Century" w:hint="cs"/>
          <w:rtl/>
        </w:rPr>
        <w:t xml:space="preserve"> בקובעו:</w:t>
      </w:r>
    </w:p>
    <w:p w14:paraId="6DF4A9C6" w14:textId="77777777" w:rsidR="000E5D20" w:rsidRPr="00643EF4" w:rsidRDefault="000E5D20" w:rsidP="000E5D20">
      <w:pPr>
        <w:pStyle w:val="Ruller41"/>
        <w:rPr>
          <w:rtl/>
        </w:rPr>
      </w:pPr>
    </w:p>
    <w:p w14:paraId="5E21F123" w14:textId="77777777" w:rsidR="000E5D20" w:rsidRPr="00643EF4" w:rsidRDefault="000E5D20" w:rsidP="000E5D20">
      <w:pPr>
        <w:pStyle w:val="Ruller5"/>
        <w:rPr>
          <w:rFonts w:ascii="Century" w:hAnsi="Century"/>
          <w:rtl/>
        </w:rPr>
      </w:pPr>
      <w:r w:rsidRPr="00643EF4">
        <w:rPr>
          <w:rFonts w:hint="cs"/>
          <w:rtl/>
        </w:rPr>
        <w:t>"על המפקד הצבאי באזור יהודה ושומרון מוטלת החובה לפעול באופן אקטיבי על מנת להגן על זכויות הקניין הפרטי של התושבים המוגנים, ובכלל זאת להגן עליהם מפני בנייה שלא כדין על אדמתם והשתלטות עליה" (</w:t>
      </w:r>
      <w:r w:rsidRPr="00643EF4">
        <w:rPr>
          <w:rFonts w:ascii="Century" w:hAnsi="Century" w:cs="Miriam" w:hint="cs"/>
          <w:b/>
          <w:spacing w:val="0"/>
          <w:szCs w:val="24"/>
          <w:rtl/>
        </w:rPr>
        <w:t>שם</w:t>
      </w:r>
      <w:r w:rsidRPr="00643EF4">
        <w:rPr>
          <w:rFonts w:ascii="Century" w:hAnsi="Century" w:hint="cs"/>
          <w:rtl/>
        </w:rPr>
        <w:t>, בפסקה 15).</w:t>
      </w:r>
      <w:r w:rsidRPr="00643EF4">
        <w:rPr>
          <w:rFonts w:hint="cs"/>
          <w:rtl/>
        </w:rPr>
        <w:t xml:space="preserve"> </w:t>
      </w:r>
    </w:p>
    <w:p w14:paraId="572CAE3F" w14:textId="77777777" w:rsidR="000E5D20" w:rsidRPr="00643EF4" w:rsidRDefault="000E5D20" w:rsidP="000E5D20">
      <w:pPr>
        <w:pStyle w:val="Ruller41"/>
      </w:pPr>
    </w:p>
    <w:p w14:paraId="68257B41" w14:textId="77777777" w:rsidR="000E5D20" w:rsidRPr="00643EF4" w:rsidRDefault="000E5D20" w:rsidP="000E5D20">
      <w:pPr>
        <w:pStyle w:val="Ruller4"/>
        <w:tabs>
          <w:tab w:val="num" w:pos="10307"/>
        </w:tabs>
        <w:rPr>
          <w:rFonts w:ascii="Century" w:hAnsi="Century" w:cs="Miriam"/>
          <w:b/>
          <w:spacing w:val="0"/>
          <w:szCs w:val="24"/>
        </w:rPr>
      </w:pPr>
      <w:r w:rsidRPr="00643EF4">
        <w:rPr>
          <w:rFonts w:hint="cs"/>
          <w:rtl/>
        </w:rPr>
        <w:t xml:space="preserve">האם חוק ההסדרה פוגע בזכות של תושבי האזור הפלסטינים לקניין? </w:t>
      </w:r>
    </w:p>
    <w:p w14:paraId="00F65AB0" w14:textId="77777777" w:rsidR="000E5D20" w:rsidRPr="00643EF4" w:rsidRDefault="000E5D20" w:rsidP="000E5D20">
      <w:pPr>
        <w:pStyle w:val="Ruller4"/>
        <w:numPr>
          <w:ilvl w:val="0"/>
          <w:numId w:val="0"/>
        </w:numPr>
        <w:rPr>
          <w:rFonts w:ascii="Century" w:hAnsi="Century" w:cs="Miriam"/>
          <w:b/>
          <w:spacing w:val="0"/>
          <w:szCs w:val="24"/>
        </w:rPr>
      </w:pPr>
    </w:p>
    <w:p w14:paraId="0601BEE6" w14:textId="77777777" w:rsidR="000E5D20" w:rsidRPr="00643EF4" w:rsidRDefault="000E5D20" w:rsidP="000E5D20">
      <w:pPr>
        <w:pStyle w:val="Ruller4"/>
        <w:numPr>
          <w:ilvl w:val="0"/>
          <w:numId w:val="0"/>
        </w:numPr>
        <w:rPr>
          <w:rFonts w:ascii="Century" w:hAnsi="Century" w:cs="Miriam"/>
          <w:b/>
          <w:spacing w:val="0"/>
          <w:szCs w:val="24"/>
          <w:rtl/>
        </w:rPr>
      </w:pPr>
      <w:r w:rsidRPr="00643EF4">
        <w:rPr>
          <w:rtl/>
        </w:rPr>
        <w:tab/>
      </w:r>
      <w:r w:rsidRPr="00643EF4">
        <w:rPr>
          <w:rFonts w:hint="cs"/>
          <w:rtl/>
        </w:rPr>
        <w:t>על מנת להשיב על שאלה זו יש לבחון את הסעיפים הרלוונטיים באותו החוק. המנגנון להסדרת ההתיישבות באזור, שהוא לב ליבו של החוק, נקבע בסעיף 3 וזו לשונו:</w:t>
      </w:r>
    </w:p>
    <w:p w14:paraId="0C053070" w14:textId="7B8D8BB0" w:rsidR="000E5D20" w:rsidRPr="00643EF4" w:rsidRDefault="000E5D20" w:rsidP="000E5D20">
      <w:pPr>
        <w:pStyle w:val="Ruller41"/>
        <w:rPr>
          <w:rtl/>
        </w:rPr>
      </w:pPr>
    </w:p>
    <w:p w14:paraId="0034E8F6" w14:textId="77777777" w:rsidR="008F5272" w:rsidRPr="00643EF4" w:rsidRDefault="008F5272" w:rsidP="000E5D20">
      <w:pPr>
        <w:pStyle w:val="Ruller41"/>
        <w:rPr>
          <w:rtl/>
        </w:rPr>
      </w:pPr>
    </w:p>
    <w:tbl>
      <w:tblPr>
        <w:bidiVisual/>
        <w:tblW w:w="0" w:type="auto"/>
        <w:tblInd w:w="1272" w:type="dxa"/>
        <w:tblLook w:val="01E0" w:firstRow="1" w:lastRow="1" w:firstColumn="1" w:lastColumn="1" w:noHBand="0" w:noVBand="0"/>
      </w:tblPr>
      <w:tblGrid>
        <w:gridCol w:w="1517"/>
        <w:gridCol w:w="4261"/>
      </w:tblGrid>
      <w:tr w:rsidR="000E5D20" w:rsidRPr="00643EF4" w14:paraId="76B52C42" w14:textId="77777777" w:rsidTr="00A6050B">
        <w:tc>
          <w:tcPr>
            <w:tcW w:w="1517" w:type="dxa"/>
            <w:shd w:val="clear" w:color="auto" w:fill="auto"/>
          </w:tcPr>
          <w:p w14:paraId="4BD86A8C" w14:textId="77777777" w:rsidR="00DE7E24" w:rsidRPr="00643EF4" w:rsidRDefault="000E5D20" w:rsidP="00DE7E24">
            <w:pPr>
              <w:pStyle w:val="Ruller41"/>
              <w:tabs>
                <w:tab w:val="left" w:pos="3209"/>
                <w:tab w:val="left" w:pos="6753"/>
              </w:tabs>
              <w:spacing w:line="240" w:lineRule="auto"/>
              <w:rPr>
                <w:rFonts w:cs="Miriam"/>
                <w:sz w:val="24"/>
                <w:szCs w:val="24"/>
                <w:rtl/>
              </w:rPr>
            </w:pPr>
            <w:r w:rsidRPr="00643EF4">
              <w:rPr>
                <w:rFonts w:cs="Miriam" w:hint="cs"/>
                <w:sz w:val="24"/>
                <w:szCs w:val="24"/>
                <w:rtl/>
              </w:rPr>
              <w:t xml:space="preserve">רישומם של </w:t>
            </w:r>
          </w:p>
          <w:p w14:paraId="66A95C0E" w14:textId="77777777" w:rsidR="00DE7E24" w:rsidRPr="00643EF4" w:rsidRDefault="000E5D20" w:rsidP="00DE7E24">
            <w:pPr>
              <w:pStyle w:val="Ruller41"/>
              <w:tabs>
                <w:tab w:val="left" w:pos="3209"/>
                <w:tab w:val="left" w:pos="6753"/>
              </w:tabs>
              <w:spacing w:line="240" w:lineRule="auto"/>
              <w:rPr>
                <w:rFonts w:cs="Miriam"/>
                <w:sz w:val="24"/>
                <w:szCs w:val="24"/>
                <w:rtl/>
              </w:rPr>
            </w:pPr>
            <w:r w:rsidRPr="00643EF4">
              <w:rPr>
                <w:rFonts w:cs="Miriam" w:hint="cs"/>
                <w:sz w:val="24"/>
                <w:szCs w:val="24"/>
                <w:rtl/>
              </w:rPr>
              <w:t xml:space="preserve">מקרקעין הטעונים הסדרה או </w:t>
            </w:r>
          </w:p>
          <w:p w14:paraId="3E1FDE1C" w14:textId="0A3D7B54" w:rsidR="000E5D20" w:rsidRPr="00643EF4" w:rsidRDefault="000E5D20" w:rsidP="00DE7E24">
            <w:pPr>
              <w:pStyle w:val="Ruller41"/>
              <w:tabs>
                <w:tab w:val="left" w:pos="3209"/>
                <w:tab w:val="left" w:pos="6753"/>
              </w:tabs>
              <w:spacing w:line="240" w:lineRule="auto"/>
              <w:rPr>
                <w:rFonts w:ascii="Times New Roman" w:hAnsi="Times New Roman" w:cs="Miriam"/>
                <w:bCs/>
                <w:spacing w:val="0"/>
                <w:sz w:val="24"/>
                <w:szCs w:val="24"/>
                <w:rtl/>
              </w:rPr>
            </w:pPr>
            <w:r w:rsidRPr="00643EF4">
              <w:rPr>
                <w:rFonts w:cs="Miriam" w:hint="cs"/>
                <w:sz w:val="24"/>
                <w:szCs w:val="24"/>
                <w:rtl/>
              </w:rPr>
              <w:t>נטילת זכויות השימוש וההחזקה בהם</w:t>
            </w:r>
          </w:p>
        </w:tc>
        <w:tc>
          <w:tcPr>
            <w:tcW w:w="4261" w:type="dxa"/>
            <w:shd w:val="clear" w:color="auto" w:fill="auto"/>
          </w:tcPr>
          <w:p w14:paraId="6798B330" w14:textId="77777777" w:rsidR="000E5D20" w:rsidRPr="00643EF4" w:rsidRDefault="000E5D20" w:rsidP="00A6050B">
            <w:pPr>
              <w:pStyle w:val="Ruller4"/>
              <w:numPr>
                <w:ilvl w:val="0"/>
                <w:numId w:val="0"/>
              </w:numPr>
              <w:spacing w:line="276" w:lineRule="auto"/>
              <w:rPr>
                <w:rtl/>
              </w:rPr>
            </w:pPr>
            <w:r w:rsidRPr="00643EF4">
              <w:rPr>
                <w:rFonts w:hint="cs"/>
                <w:rtl/>
              </w:rPr>
              <w:t>3. מצאו רשויות האזור כי בתקופה שקדמה ליום פרסומו של חוק זה נבנתה ב</w:t>
            </w:r>
            <w:r w:rsidRPr="00643EF4">
              <w:rPr>
                <w:rFonts w:ascii="Century" w:hAnsi="Century" w:cs="Miriam" w:hint="cs"/>
                <w:b/>
                <w:spacing w:val="0"/>
                <w:sz w:val="22"/>
                <w:szCs w:val="24"/>
                <w:rtl/>
              </w:rPr>
              <w:t>תום לב</w:t>
            </w:r>
            <w:r w:rsidRPr="00643EF4">
              <w:rPr>
                <w:rFonts w:hint="cs"/>
                <w:rtl/>
              </w:rPr>
              <w:t xml:space="preserve"> התיישבות במקרקעין הטעונים הסדרה או ניתנה </w:t>
            </w:r>
            <w:r w:rsidRPr="00643EF4">
              <w:rPr>
                <w:rFonts w:ascii="Century" w:hAnsi="Century" w:cs="Miriam" w:hint="cs"/>
                <w:b/>
                <w:spacing w:val="0"/>
                <w:sz w:val="22"/>
                <w:szCs w:val="24"/>
                <w:rtl/>
              </w:rPr>
              <w:t>הסכמת המדינה</w:t>
            </w:r>
            <w:r w:rsidRPr="00643EF4">
              <w:rPr>
                <w:rFonts w:hint="cs"/>
                <w:rtl/>
              </w:rPr>
              <w:t xml:space="preserve"> לבנייתה, יחולו לגבי כל המקרקעין שעליהם נבנתה אותה התיישבות ערב יום פרסומו של חוק זה ההוראות האלה:</w:t>
            </w:r>
          </w:p>
          <w:p w14:paraId="681F34BE" w14:textId="77777777" w:rsidR="000E5D20" w:rsidRPr="00643EF4" w:rsidRDefault="000E5D20" w:rsidP="00A6050B">
            <w:pPr>
              <w:pStyle w:val="Ruller4"/>
              <w:numPr>
                <w:ilvl w:val="0"/>
                <w:numId w:val="0"/>
              </w:numPr>
              <w:spacing w:line="276" w:lineRule="auto"/>
              <w:rPr>
                <w:rtl/>
              </w:rPr>
            </w:pPr>
            <w:r w:rsidRPr="00643EF4">
              <w:rPr>
                <w:rFonts w:hint="cs"/>
                <w:rtl/>
              </w:rPr>
              <w:t>(1)</w:t>
            </w:r>
            <w:r w:rsidRPr="00643EF4">
              <w:rPr>
                <w:rFonts w:hint="cs"/>
                <w:rtl/>
              </w:rPr>
              <w:tab/>
              <w:t>מקרקעין ש</w:t>
            </w:r>
            <w:r w:rsidRPr="00643EF4">
              <w:rPr>
                <w:rFonts w:ascii="Century" w:hAnsi="Century" w:cs="Miriam" w:hint="cs"/>
                <w:b/>
                <w:spacing w:val="0"/>
                <w:sz w:val="22"/>
                <w:szCs w:val="24"/>
                <w:rtl/>
              </w:rPr>
              <w:t>אין בהם בעל זכויות במקרקעין</w:t>
            </w:r>
            <w:r w:rsidRPr="00643EF4">
              <w:rPr>
                <w:rFonts w:hint="cs"/>
                <w:rtl/>
              </w:rPr>
              <w:t xml:space="preserve"> </w:t>
            </w:r>
            <w:r w:rsidRPr="00643EF4">
              <w:rPr>
                <w:rtl/>
              </w:rPr>
              <w:t>–</w:t>
            </w:r>
            <w:r w:rsidRPr="00643EF4">
              <w:rPr>
                <w:rFonts w:hint="cs"/>
                <w:rtl/>
              </w:rPr>
              <w:t xml:space="preserve"> הממונה </w:t>
            </w:r>
            <w:r w:rsidRPr="00643EF4">
              <w:rPr>
                <w:rFonts w:ascii="Century" w:hAnsi="Century" w:cs="Miriam" w:hint="cs"/>
                <w:b/>
                <w:spacing w:val="0"/>
                <w:sz w:val="22"/>
                <w:szCs w:val="24"/>
                <w:rtl/>
              </w:rPr>
              <w:t>ירשום אותם כרכוש ממשלתי</w:t>
            </w:r>
            <w:r w:rsidRPr="00643EF4">
              <w:rPr>
                <w:rFonts w:hint="cs"/>
                <w:rtl/>
              </w:rPr>
              <w:t>, לפי סעיף 2ג לצו בדבר רכוש ממשלתי;</w:t>
            </w:r>
          </w:p>
          <w:p w14:paraId="103743FA" w14:textId="77777777" w:rsidR="000E5D20" w:rsidRPr="00643EF4" w:rsidRDefault="000E5D20" w:rsidP="00A6050B">
            <w:pPr>
              <w:pStyle w:val="Ruller4"/>
              <w:numPr>
                <w:ilvl w:val="0"/>
                <w:numId w:val="0"/>
              </w:numPr>
              <w:spacing w:line="276" w:lineRule="auto"/>
              <w:rPr>
                <w:rFonts w:ascii="Century" w:hAnsi="Century"/>
                <w:sz w:val="22"/>
                <w:rtl/>
              </w:rPr>
            </w:pPr>
            <w:r w:rsidRPr="00643EF4">
              <w:rPr>
                <w:rFonts w:hint="cs"/>
                <w:rtl/>
              </w:rPr>
              <w:t>(2)(א)</w:t>
            </w:r>
            <w:r w:rsidRPr="00643EF4">
              <w:rPr>
                <w:rFonts w:hint="cs"/>
                <w:rtl/>
              </w:rPr>
              <w:tab/>
              <w:t>מקרקעין ש</w:t>
            </w:r>
            <w:r w:rsidRPr="00643EF4">
              <w:rPr>
                <w:rFonts w:ascii="Century" w:hAnsi="Century" w:cs="Miriam" w:hint="cs"/>
                <w:b/>
                <w:spacing w:val="0"/>
                <w:sz w:val="22"/>
                <w:szCs w:val="24"/>
                <w:rtl/>
              </w:rPr>
              <w:t>יש בהם בעל זכויות במקרקעין</w:t>
            </w:r>
            <w:r w:rsidRPr="00643EF4">
              <w:rPr>
                <w:rFonts w:hint="cs"/>
                <w:rtl/>
              </w:rPr>
              <w:t xml:space="preserve"> </w:t>
            </w:r>
            <w:r w:rsidRPr="00643EF4">
              <w:rPr>
                <w:rtl/>
              </w:rPr>
              <w:t>–</w:t>
            </w:r>
            <w:r w:rsidRPr="00643EF4">
              <w:rPr>
                <w:rFonts w:hint="cs"/>
                <w:rtl/>
              </w:rPr>
              <w:t xml:space="preserve"> רשויות האזור </w:t>
            </w:r>
            <w:r w:rsidRPr="00643EF4">
              <w:rPr>
                <w:rFonts w:ascii="Century" w:hAnsi="Century" w:cs="Miriam" w:hint="cs"/>
                <w:b/>
                <w:spacing w:val="0"/>
                <w:sz w:val="22"/>
                <w:szCs w:val="24"/>
                <w:rtl/>
              </w:rPr>
              <w:t>ייטלו את זכויות השימוש וההחזקה</w:t>
            </w:r>
            <w:r w:rsidRPr="00643EF4">
              <w:rPr>
                <w:rFonts w:hint="cs"/>
                <w:rtl/>
              </w:rPr>
              <w:t xml:space="preserve"> במקרקעין ויעבירו אותן לממונה, אם מצאו כי הסכום שהושקע בבניית ההתיישבות עלה, בשעת הבנייה, על </w:t>
            </w:r>
            <w:r w:rsidRPr="00643EF4">
              <w:rPr>
                <w:rFonts w:ascii="Century" w:hAnsi="Century" w:hint="cs"/>
                <w:sz w:val="22"/>
                <w:rtl/>
              </w:rPr>
              <w:t>שוויים של המקרקעין בלי ההתיישבות באותה שעה;</w:t>
            </w:r>
          </w:p>
          <w:p w14:paraId="33379753" w14:textId="77777777" w:rsidR="000E5D20" w:rsidRPr="00643EF4" w:rsidRDefault="000E5D20" w:rsidP="00A6050B">
            <w:pPr>
              <w:pStyle w:val="Ruller4"/>
              <w:numPr>
                <w:ilvl w:val="0"/>
                <w:numId w:val="0"/>
              </w:numPr>
              <w:spacing w:line="276" w:lineRule="auto"/>
              <w:rPr>
                <w:rFonts w:ascii="Times New Roman" w:hAnsi="Times New Roman"/>
                <w:bCs/>
                <w:rtl/>
              </w:rPr>
            </w:pPr>
            <w:r w:rsidRPr="00643EF4">
              <w:rPr>
                <w:rFonts w:ascii="Century" w:hAnsi="Century" w:hint="cs"/>
                <w:sz w:val="22"/>
                <w:rtl/>
              </w:rPr>
              <w:t>(ב)</w:t>
            </w:r>
            <w:r w:rsidRPr="00643EF4">
              <w:rPr>
                <w:rFonts w:ascii="Century" w:hAnsi="Century" w:hint="cs"/>
                <w:sz w:val="22"/>
                <w:rtl/>
              </w:rPr>
              <w:tab/>
              <w:t xml:space="preserve">נטילת זכויות השימוש וההחזקה כאמור בפסקה זו, תיעשה, ככל האפשר, בהתאם להוראות חוק הקרקעות הירדני, </w:t>
            </w:r>
            <w:r w:rsidRPr="00643EF4">
              <w:rPr>
                <w:rFonts w:ascii="Century" w:hAnsi="Century" w:hint="cs"/>
                <w:sz w:val="22"/>
                <w:rtl/>
              </w:rPr>
              <w:lastRenderedPageBreak/>
              <w:t>ככל שהן אינן סותרות את הוראות חוק זה, והיא תעמוד בתוקפה עד להכרעה מדינית בדבר מעמדו של האזור וההתיישבות בו. (ההדגשות הוספו).</w:t>
            </w:r>
          </w:p>
        </w:tc>
      </w:tr>
    </w:tbl>
    <w:p w14:paraId="1F6FC967" w14:textId="77777777" w:rsidR="000E5D20" w:rsidRPr="00643EF4" w:rsidRDefault="000E5D20" w:rsidP="000E5D20">
      <w:pPr>
        <w:pStyle w:val="Ruller41"/>
        <w:rPr>
          <w:rtl/>
        </w:rPr>
      </w:pPr>
    </w:p>
    <w:p w14:paraId="0EAA7C08" w14:textId="77777777" w:rsidR="00F42560" w:rsidRPr="00643EF4" w:rsidRDefault="000E5D20" w:rsidP="000E5D20">
      <w:pPr>
        <w:pStyle w:val="Ruller4"/>
        <w:numPr>
          <w:ilvl w:val="0"/>
          <w:numId w:val="0"/>
        </w:numPr>
        <w:rPr>
          <w:rtl/>
        </w:rPr>
      </w:pPr>
      <w:r w:rsidRPr="00643EF4">
        <w:rPr>
          <w:rtl/>
        </w:rPr>
        <w:tab/>
      </w:r>
    </w:p>
    <w:p w14:paraId="1E8E3DC6" w14:textId="69236A1B" w:rsidR="000E5D20" w:rsidRPr="00643EF4" w:rsidRDefault="000E5D20" w:rsidP="000E5D20">
      <w:pPr>
        <w:pStyle w:val="Ruller4"/>
        <w:numPr>
          <w:ilvl w:val="0"/>
          <w:numId w:val="0"/>
        </w:numPr>
        <w:rPr>
          <w:rtl/>
        </w:rPr>
      </w:pPr>
      <w:r w:rsidRPr="00643EF4">
        <w:rPr>
          <w:rFonts w:hint="cs"/>
          <w:rtl/>
        </w:rPr>
        <w:t xml:space="preserve">סעיף 3 המצוטט לעיל מתייחס בהיבט הקנייני לשני מצבים: האחד, נוגע ל"מקרקעין שאין בהם בעל זכויות במקרקעין" (סעיף 3(1) לחוק) והשני, ל"מקרקעין שיש בהם בעל זכויות במקרקעין" (סעיף 3(2) לחוק). </w:t>
      </w:r>
    </w:p>
    <w:p w14:paraId="51E4A819" w14:textId="76FD00C8" w:rsidR="000E5D20" w:rsidRPr="00643EF4" w:rsidRDefault="000E5D20" w:rsidP="000E5D20">
      <w:pPr>
        <w:pStyle w:val="Ruller4"/>
        <w:numPr>
          <w:ilvl w:val="0"/>
          <w:numId w:val="0"/>
        </w:numPr>
        <w:rPr>
          <w:rtl/>
        </w:rPr>
      </w:pPr>
    </w:p>
    <w:p w14:paraId="6313E620" w14:textId="77777777" w:rsidR="00F42560" w:rsidRPr="00643EF4" w:rsidRDefault="00F42560" w:rsidP="00F42560">
      <w:pPr>
        <w:pStyle w:val="Ruller41"/>
        <w:rPr>
          <w:rtl/>
        </w:rPr>
      </w:pPr>
    </w:p>
    <w:p w14:paraId="4C11B8BF" w14:textId="77777777" w:rsidR="000E5D20" w:rsidRPr="00643EF4" w:rsidRDefault="000E5D20" w:rsidP="000E5D20">
      <w:pPr>
        <w:pStyle w:val="Ruller4"/>
        <w:numPr>
          <w:ilvl w:val="0"/>
          <w:numId w:val="0"/>
        </w:numPr>
        <w:rPr>
          <w:rtl/>
        </w:rPr>
      </w:pPr>
      <w:r w:rsidRPr="00643EF4">
        <w:rPr>
          <w:rtl/>
        </w:rPr>
        <w:tab/>
      </w:r>
      <w:r w:rsidRPr="00643EF4">
        <w:rPr>
          <w:rFonts w:hint="cs"/>
          <w:rtl/>
        </w:rPr>
        <w:t xml:space="preserve">מהי הפגיעה הנגרמת לזכות לקניין פרטי בכל אחד משני המצבים? </w:t>
      </w:r>
    </w:p>
    <w:p w14:paraId="01676B15" w14:textId="7C773C86" w:rsidR="00F42560" w:rsidRPr="00643EF4" w:rsidRDefault="00F42560" w:rsidP="000E5D20">
      <w:pPr>
        <w:pStyle w:val="Ruller41"/>
        <w:rPr>
          <w:rtl/>
        </w:rPr>
      </w:pPr>
    </w:p>
    <w:p w14:paraId="3B05AB67"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(1) מקרקעין שיש בהם בעל זכויות</w:t>
      </w:r>
    </w:p>
    <w:p w14:paraId="638D60B0" w14:textId="77777777" w:rsidR="000E5D20" w:rsidRPr="00643EF4" w:rsidRDefault="000E5D20" w:rsidP="000E5D20">
      <w:pPr>
        <w:pStyle w:val="Ruller4"/>
        <w:numPr>
          <w:ilvl w:val="0"/>
          <w:numId w:val="0"/>
        </w:numPr>
        <w:rPr>
          <w:rtl/>
        </w:rPr>
      </w:pPr>
    </w:p>
    <w:p w14:paraId="41C32AB6" w14:textId="77777777" w:rsidR="000E5D20" w:rsidRPr="00643EF4" w:rsidRDefault="000E5D20" w:rsidP="000E5D20">
      <w:pPr>
        <w:pStyle w:val="Ruller4"/>
        <w:tabs>
          <w:tab w:val="num" w:pos="10307"/>
        </w:tabs>
        <w:rPr>
          <w:rtl/>
        </w:rPr>
      </w:pPr>
      <w:r w:rsidRPr="00643EF4">
        <w:rPr>
          <w:rFonts w:hint="cs"/>
          <w:rtl/>
        </w:rPr>
        <w:t xml:space="preserve">סעיף 3(2) קובע כי רשויות האזור ייטלו את זכויות השימוש והחזקה במקרקעין שיש בהם בעל זכויות ויעבירו אותן לממונה. נטילת הזכויות כאמור מותנית בכך שהסכום שהושקע בבניית ההתיישבות שעל המקרקעין עלה, בשעת הבנייה, על שווי המקרקעין ללא המחוברים אליהם. סעיף 8 קובע כי בעל הזכויות במקרקעין זכאי לפיצוי </w:t>
      </w:r>
      <w:r w:rsidRPr="00643EF4">
        <w:rPr>
          <w:rtl/>
        </w:rPr>
        <w:t>–</w:t>
      </w:r>
      <w:r w:rsidRPr="00643EF4">
        <w:rPr>
          <w:rFonts w:hint="cs"/>
          <w:rtl/>
        </w:rPr>
        <w:t xml:space="preserve"> בכסף או בקרקע חלופית </w:t>
      </w:r>
      <w:r w:rsidRPr="00643EF4">
        <w:rPr>
          <w:rtl/>
        </w:rPr>
        <w:t>–</w:t>
      </w:r>
      <w:r w:rsidRPr="00643EF4">
        <w:rPr>
          <w:rFonts w:hint="cs"/>
          <w:rtl/>
        </w:rPr>
        <w:t xml:space="preserve"> בגין נטילת הזכויות במקרקעין, וזאת בהתאם למנגנון הקבוע לכך באותו הסעיף. סעיף 4(ב) לחוק קובע כי נטילת זכויות השימוש והחזקה במקרקעין על ידי רשויות האזור בהתאם לסעיף 3(2) לחוק תעשה בתוך שישה חודשים מיום פרסומו. סעיף 5 לחוק קובע כי 60 יום לאחר נטילת הזכויות, כאמור, יקצה אותן הממונה לצרכי ההתיישבות שנבנתה על המקרקעין, וזאת באמצעות מוסד מיישב, כמשמעותו בחוק המועמדים להתישבות חקלאית, התשי"ג-1953 (להלן: </w:t>
      </w:r>
      <w:r w:rsidRPr="00643EF4">
        <w:rPr>
          <w:rFonts w:ascii="Century" w:hAnsi="Century" w:cs="Miriam" w:hint="cs"/>
          <w:b/>
          <w:spacing w:val="0"/>
          <w:sz w:val="22"/>
          <w:szCs w:val="24"/>
          <w:rtl/>
        </w:rPr>
        <w:t>חוק המועמדים להתישבות חקלאית</w:t>
      </w:r>
      <w:r w:rsidRPr="00643EF4">
        <w:rPr>
          <w:rFonts w:ascii="Century" w:hAnsi="Century" w:hint="cs"/>
          <w:sz w:val="22"/>
          <w:rtl/>
        </w:rPr>
        <w:t>),</w:t>
      </w:r>
      <w:r w:rsidRPr="00643EF4">
        <w:rPr>
          <w:rFonts w:hint="cs"/>
          <w:rtl/>
        </w:rPr>
        <w:t xml:space="preserve"> קרי "ממשלה, ההסתדרות הציונית העולמית </w:t>
      </w:r>
      <w:r w:rsidRPr="00643EF4">
        <w:rPr>
          <w:rtl/>
        </w:rPr>
        <w:t>–</w:t>
      </w:r>
      <w:r w:rsidRPr="00643EF4">
        <w:rPr>
          <w:rFonts w:hint="cs"/>
          <w:rtl/>
        </w:rPr>
        <w:t xml:space="preserve"> הסוכנות היהודית לא"י, וכל גוף אחר העוסק ביישוב בני אדם על הקרקע, ושר החקלאות, בהודעה ברשומות, הכיר בו כמוסד מיישב לענין חוק זה". והכל עד להסדרה מדינית בדבר מעמד האזור וההתיישבות.</w:t>
      </w:r>
    </w:p>
    <w:p w14:paraId="774A5BBC" w14:textId="77777777" w:rsidR="000E5D20" w:rsidRPr="00643EF4" w:rsidRDefault="000E5D20" w:rsidP="000E5D20">
      <w:pPr>
        <w:pStyle w:val="Ruller41"/>
        <w:rPr>
          <w:rtl/>
        </w:rPr>
      </w:pPr>
    </w:p>
    <w:p w14:paraId="7AAE3068" w14:textId="77777777" w:rsidR="000E5D20" w:rsidRPr="00643EF4" w:rsidRDefault="000E5D20" w:rsidP="000E5D20">
      <w:pPr>
        <w:pStyle w:val="Ruller4"/>
        <w:tabs>
          <w:tab w:val="num" w:pos="10307"/>
        </w:tabs>
      </w:pPr>
      <w:r w:rsidRPr="00643EF4">
        <w:rPr>
          <w:rFonts w:hint="cs"/>
          <w:rtl/>
        </w:rPr>
        <w:t>דומה כי הפגיעה בזכות הקניין של בעל הזכויות במקרקעין בעקבות הסדרת נטילת זכויות השימוש והחזקה בהם על פי סעיף 3(2) לחוק, היא פגיעה מובהקת וברורה. למעשה, מכשיר הסעיף בדיעבד את נטילתן הבלתי חוקית של זכויות שימוש וחזקה במקרקעין ש</w:t>
      </w:r>
      <w:r w:rsidRPr="00643EF4">
        <w:rPr>
          <w:rFonts w:ascii="Century" w:hAnsi="Century" w:cs="Miriam" w:hint="cs"/>
          <w:b/>
          <w:spacing w:val="0"/>
          <w:sz w:val="22"/>
          <w:szCs w:val="24"/>
          <w:rtl/>
        </w:rPr>
        <w:t>יש בהם בעל זכויות</w:t>
      </w:r>
      <w:r w:rsidRPr="00643EF4">
        <w:rPr>
          <w:rFonts w:ascii="Century" w:hAnsi="Century" w:hint="cs"/>
          <w:sz w:val="22"/>
          <w:rtl/>
        </w:rPr>
        <w:t xml:space="preserve">. על היקפה ועוצמתה של הפגיעה ניתן ללמוד, בין היתר, </w:t>
      </w:r>
      <w:r w:rsidRPr="00643EF4">
        <w:rPr>
          <w:rFonts w:hint="cs"/>
          <w:rtl/>
        </w:rPr>
        <w:t>מנתוני המינהל האזרחי שהובאו בפסקה 16 לעיל מהם עולה כי נכון לשנת 2016 היו באזור</w:t>
      </w:r>
      <w:r w:rsidRPr="00643EF4">
        <w:rPr>
          <w:rFonts w:ascii="Century" w:hAnsi="Century" w:hint="cs"/>
          <w:sz w:val="22"/>
          <w:rtl/>
        </w:rPr>
        <w:t xml:space="preserve"> 3,455 מבני קבע ומבנים יבילים בלתי חוקיים של התיישב</w:t>
      </w:r>
      <w:r w:rsidRPr="00643EF4">
        <w:rPr>
          <w:rFonts w:ascii="Century" w:hAnsi="Century" w:hint="eastAsia"/>
          <w:sz w:val="22"/>
          <w:rtl/>
        </w:rPr>
        <w:t>ות</w:t>
      </w:r>
      <w:r w:rsidRPr="00643EF4">
        <w:rPr>
          <w:rFonts w:ascii="Century" w:hAnsi="Century"/>
          <w:sz w:val="22"/>
          <w:rtl/>
        </w:rPr>
        <w:t xml:space="preserve"> </w:t>
      </w:r>
      <w:r w:rsidRPr="00643EF4">
        <w:rPr>
          <w:rFonts w:ascii="Century" w:hAnsi="Century" w:hint="eastAsia"/>
          <w:sz w:val="22"/>
          <w:rtl/>
        </w:rPr>
        <w:t>הישראלית</w:t>
      </w:r>
      <w:r w:rsidRPr="00643EF4">
        <w:rPr>
          <w:rFonts w:ascii="Century" w:hAnsi="Century"/>
          <w:sz w:val="22"/>
          <w:rtl/>
        </w:rPr>
        <w:t xml:space="preserve"> </w:t>
      </w:r>
      <w:r w:rsidRPr="00643EF4">
        <w:rPr>
          <w:rFonts w:ascii="Century" w:hAnsi="Century" w:hint="eastAsia"/>
          <w:sz w:val="22"/>
          <w:rtl/>
        </w:rPr>
        <w:t>על</w:t>
      </w:r>
      <w:r w:rsidRPr="00643EF4">
        <w:rPr>
          <w:rFonts w:ascii="Century" w:hAnsi="Century"/>
          <w:sz w:val="22"/>
          <w:rtl/>
        </w:rPr>
        <w:t xml:space="preserve"> </w:t>
      </w:r>
      <w:r w:rsidRPr="00643EF4">
        <w:rPr>
          <w:rFonts w:ascii="Century" w:hAnsi="Century" w:hint="eastAsia"/>
          <w:sz w:val="22"/>
          <w:rtl/>
        </w:rPr>
        <w:lastRenderedPageBreak/>
        <w:t>מקרקעין</w:t>
      </w:r>
      <w:r w:rsidRPr="00643EF4">
        <w:rPr>
          <w:rFonts w:ascii="Century" w:hAnsi="Century"/>
          <w:sz w:val="22"/>
          <w:rtl/>
        </w:rPr>
        <w:t xml:space="preserve"> </w:t>
      </w:r>
      <w:r w:rsidRPr="00643EF4">
        <w:rPr>
          <w:rFonts w:ascii="Century" w:hAnsi="Century" w:hint="eastAsia"/>
          <w:sz w:val="22"/>
          <w:rtl/>
        </w:rPr>
        <w:t>בבעלות</w:t>
      </w:r>
      <w:r w:rsidRPr="00643EF4">
        <w:rPr>
          <w:rFonts w:ascii="Century" w:hAnsi="Century"/>
          <w:sz w:val="22"/>
          <w:rtl/>
        </w:rPr>
        <w:t xml:space="preserve"> </w:t>
      </w:r>
      <w:r w:rsidRPr="00643EF4">
        <w:rPr>
          <w:rFonts w:ascii="Century" w:hAnsi="Century" w:hint="eastAsia"/>
          <w:sz w:val="22"/>
          <w:rtl/>
        </w:rPr>
        <w:t>פלסטינית</w:t>
      </w:r>
      <w:r w:rsidRPr="00643EF4">
        <w:rPr>
          <w:rFonts w:ascii="Century" w:hAnsi="Century"/>
          <w:sz w:val="22"/>
          <w:rtl/>
        </w:rPr>
        <w:t xml:space="preserve"> </w:t>
      </w:r>
      <w:r w:rsidRPr="00643EF4">
        <w:rPr>
          <w:rFonts w:ascii="Century" w:hAnsi="Century" w:hint="eastAsia"/>
          <w:sz w:val="22"/>
          <w:rtl/>
        </w:rPr>
        <w:t>פרטית</w:t>
      </w:r>
      <w:r w:rsidRPr="00643EF4">
        <w:rPr>
          <w:rFonts w:ascii="Century" w:hAnsi="Century"/>
          <w:sz w:val="22"/>
          <w:rtl/>
        </w:rPr>
        <w:t xml:space="preserve">. </w:t>
      </w:r>
      <w:r w:rsidRPr="00643EF4">
        <w:rPr>
          <w:rFonts w:hint="cs"/>
          <w:rtl/>
        </w:rPr>
        <w:t xml:space="preserve">עוד ניתן ללמוד מנתוני המנהל האזרחי כי מתוך כלל המבנים הללו, 1,576 מבנים נבנו על קרקע פלסטינית </w:t>
      </w:r>
      <w:r w:rsidRPr="00643EF4">
        <w:rPr>
          <w:rFonts w:ascii="Century" w:hAnsi="Century" w:cs="Miriam" w:hint="cs"/>
          <w:b/>
          <w:spacing w:val="0"/>
          <w:sz w:val="22"/>
          <w:szCs w:val="24"/>
          <w:rtl/>
        </w:rPr>
        <w:t>מוסדרת</w:t>
      </w:r>
      <w:r w:rsidRPr="00643EF4">
        <w:rPr>
          <w:rFonts w:hint="cs"/>
          <w:rtl/>
        </w:rPr>
        <w:t xml:space="preserve"> בבעלות פרטית.  </w:t>
      </w:r>
    </w:p>
    <w:p w14:paraId="07840264" w14:textId="77777777" w:rsidR="000E5D20" w:rsidRPr="00643EF4" w:rsidRDefault="000E5D20" w:rsidP="000E5D20">
      <w:pPr>
        <w:pStyle w:val="Ruller4"/>
        <w:numPr>
          <w:ilvl w:val="0"/>
          <w:numId w:val="0"/>
        </w:numPr>
        <w:rPr>
          <w:rFonts w:ascii="Century" w:hAnsi="Century"/>
          <w:sz w:val="22"/>
          <w:rtl/>
        </w:rPr>
      </w:pPr>
    </w:p>
    <w:p w14:paraId="6E5C6C80" w14:textId="77777777" w:rsidR="000E5D20" w:rsidRPr="00643EF4" w:rsidRDefault="000E5D20" w:rsidP="000E5D20">
      <w:pPr>
        <w:pStyle w:val="Ruller4"/>
        <w:numPr>
          <w:ilvl w:val="0"/>
          <w:numId w:val="0"/>
        </w:numPr>
        <w:rPr>
          <w:rtl/>
        </w:rPr>
      </w:pPr>
      <w:r w:rsidRPr="00643EF4">
        <w:rPr>
          <w:rFonts w:ascii="Century" w:hAnsi="Century"/>
          <w:sz w:val="22"/>
          <w:rtl/>
        </w:rPr>
        <w:tab/>
      </w:r>
      <w:r w:rsidRPr="00643EF4">
        <w:rPr>
          <w:rFonts w:ascii="Century" w:hAnsi="Century" w:hint="cs"/>
          <w:sz w:val="22"/>
          <w:rtl/>
        </w:rPr>
        <w:t>השאלה האם פגיעה זו עומדת באמות המידה הקבועות בפסקת ההגבלה שבסעיף 8 לחוק היסוד, תידון בהמשך אך על עצם הפגיעה בזכות הקניין של בעל הזכויות במקרקעין לא ניתן לחלוק שכן</w:t>
      </w:r>
      <w:r w:rsidRPr="00643EF4">
        <w:rPr>
          <w:rtl/>
        </w:rPr>
        <w:t xml:space="preserve"> </w:t>
      </w:r>
      <w:r w:rsidRPr="00643EF4">
        <w:rPr>
          <w:rFonts w:ascii="Century" w:hAnsi="Century"/>
          <w:sz w:val="22"/>
          <w:rtl/>
        </w:rPr>
        <w:t>נטילת זכויות השימוש והחזקה במקרקעין, גם אם אין בה משום נטיל</w:t>
      </w:r>
      <w:r w:rsidRPr="00643EF4">
        <w:rPr>
          <w:rFonts w:ascii="Century" w:hAnsi="Century" w:hint="cs"/>
          <w:sz w:val="22"/>
          <w:rtl/>
        </w:rPr>
        <w:t>ת</w:t>
      </w:r>
      <w:r w:rsidRPr="00643EF4">
        <w:rPr>
          <w:rFonts w:ascii="Century" w:hAnsi="Century"/>
          <w:sz w:val="22"/>
          <w:rtl/>
        </w:rPr>
        <w:t xml:space="preserve"> הבעלות עצמה, עלולה להסב לבעלי הזכויות </w:t>
      </w:r>
      <w:r w:rsidRPr="00643EF4">
        <w:rPr>
          <w:rFonts w:ascii="Century" w:hAnsi="Century" w:hint="cs"/>
          <w:sz w:val="22"/>
          <w:rtl/>
        </w:rPr>
        <w:t xml:space="preserve">פגיעה בשל </w:t>
      </w:r>
      <w:r w:rsidRPr="00643EF4">
        <w:rPr>
          <w:rFonts w:ascii="Century" w:hAnsi="Century"/>
          <w:sz w:val="22"/>
          <w:rtl/>
        </w:rPr>
        <w:t>שלילת היכולת להשתמש בה</w:t>
      </w:r>
      <w:r w:rsidRPr="00643EF4">
        <w:rPr>
          <w:rFonts w:ascii="Century" w:hAnsi="Century" w:hint="cs"/>
          <w:sz w:val="22"/>
          <w:rtl/>
        </w:rPr>
        <w:t>ם או לעבדם</w:t>
      </w:r>
      <w:r w:rsidRPr="00643EF4">
        <w:rPr>
          <w:rFonts w:ascii="Century" w:hAnsi="Century"/>
          <w:sz w:val="22"/>
          <w:rtl/>
        </w:rPr>
        <w:t xml:space="preserve"> כמקור פרנסה (השוו לפסיקת בית הדין של האיחוד האירופי לזכויות אדם </w:t>
      </w:r>
      <w:r w:rsidRPr="00643EF4">
        <w:rPr>
          <w:rFonts w:ascii="Century" w:hAnsi="Century"/>
          <w:sz w:val="22"/>
        </w:rPr>
        <w:t>Loizidou v. Turkey (Merits) (European Court of Human Rights, 1996)</w:t>
      </w:r>
      <w:r w:rsidRPr="00643EF4">
        <w:rPr>
          <w:rFonts w:ascii="Century" w:hAnsi="Century"/>
          <w:sz w:val="22"/>
          <w:rtl/>
        </w:rPr>
        <w:t>, בפס</w:t>
      </w:r>
      <w:r w:rsidRPr="00643EF4">
        <w:rPr>
          <w:rFonts w:ascii="Century" w:hAnsi="Century" w:hint="cs"/>
          <w:sz w:val="22"/>
          <w:rtl/>
        </w:rPr>
        <w:t>קה</w:t>
      </w:r>
      <w:r w:rsidRPr="00643EF4">
        <w:rPr>
          <w:rFonts w:ascii="Century" w:hAnsi="Century"/>
          <w:sz w:val="22"/>
          <w:rtl/>
        </w:rPr>
        <w:t xml:space="preserve"> 64-63 לדעת הרוב; ראו עוד </w:t>
      </w:r>
      <w:r w:rsidRPr="00643EF4">
        <w:rPr>
          <w:rFonts w:ascii="Century" w:hAnsi="Century" w:cs="Miriam"/>
          <w:b/>
          <w:spacing w:val="0"/>
          <w:sz w:val="22"/>
          <w:szCs w:val="24"/>
          <w:rtl/>
        </w:rPr>
        <w:t>דינשטיין</w:t>
      </w:r>
      <w:r w:rsidRPr="00643EF4">
        <w:rPr>
          <w:rFonts w:ascii="Century" w:hAnsi="Century"/>
          <w:sz w:val="22"/>
          <w:rtl/>
        </w:rPr>
        <w:t xml:space="preserve">, בעמ' 225; </w:t>
      </w:r>
      <w:r w:rsidRPr="00643EF4">
        <w:rPr>
          <w:rFonts w:ascii="Century" w:hAnsi="Century" w:cs="Miriam"/>
          <w:b/>
          <w:spacing w:val="0"/>
          <w:sz w:val="22"/>
          <w:szCs w:val="24"/>
          <w:rtl/>
        </w:rPr>
        <w:t>גרוס</w:t>
      </w:r>
      <w:r w:rsidRPr="00643EF4">
        <w:rPr>
          <w:rFonts w:ascii="Century" w:hAnsi="Century"/>
          <w:sz w:val="22"/>
          <w:rtl/>
        </w:rPr>
        <w:t>, בעמ' 82-81).</w:t>
      </w:r>
      <w:r w:rsidRPr="00643EF4">
        <w:rPr>
          <w:rFonts w:ascii="Century" w:hAnsi="Century" w:hint="cs"/>
          <w:sz w:val="22"/>
          <w:rtl/>
        </w:rPr>
        <w:t xml:space="preserve"> </w:t>
      </w:r>
      <w:r w:rsidRPr="00643EF4">
        <w:rPr>
          <w:rFonts w:hint="cs"/>
          <w:rtl/>
        </w:rPr>
        <w:t xml:space="preserve">למעשה אף הממשלה מודה כי הסדרים מסוימים בחוק פוגעים בזכות הקניין של התושבים הפלסטינים באזור. עם זאת, הממשלה ומועצת מטה בנימין העלו בהקשר זה את הטענה כי במקרים רבים אין בעלי הזכויות הפלסטינים יכולים ממילא לעשות שימוש במקרקעין, משום שהם "כלואים" בתוך התיישבות ישראלית. על כן, כך הטענה, ככל שקיימת פגיעה בזכות הקניין של בעלי הזכויות באותם המקרקעין, מדובר לכל היותר בפגיעה מצומצמת ביותר אשר אינה מקימה על פני הדברים עילה חוקתית. טענה זו נטענה באורח כללי ומבלי שהממשלה והמועצה הציגו נתונים ופרטים כלשהם לביסוסה. יתרה מכך, לא מן הנמנע כי "כליאתם" של מקרקעין בתוך ההתיישבות הישראלית היא לכתחילה תולדה של נטילתם שלא כחוק מידי בעלי הזכויות בהם, וככל שזה מצב הדברים ברי כי טענת הפגיעה המצומצמת אינה יכולה לעמוד. </w:t>
      </w:r>
    </w:p>
    <w:p w14:paraId="6ABB50DA" w14:textId="77777777" w:rsidR="000E5D20" w:rsidRPr="00643EF4" w:rsidRDefault="000E5D20" w:rsidP="000E5D20">
      <w:pPr>
        <w:pStyle w:val="Ruller41"/>
        <w:rPr>
          <w:rtl/>
        </w:rPr>
      </w:pPr>
    </w:p>
    <w:p w14:paraId="2F1999D5"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(2) מקרקעין שאין בהם בעל זכויות </w:t>
      </w:r>
    </w:p>
    <w:p w14:paraId="042F43AB" w14:textId="77777777" w:rsidR="000E5D20" w:rsidRPr="00643EF4" w:rsidRDefault="000E5D20" w:rsidP="000E5D20">
      <w:pPr>
        <w:pStyle w:val="Ruller41"/>
        <w:rPr>
          <w:rtl/>
        </w:rPr>
      </w:pPr>
    </w:p>
    <w:p w14:paraId="2443AEF2" w14:textId="77777777" w:rsidR="000E5D20" w:rsidRPr="00643EF4" w:rsidRDefault="000E5D20" w:rsidP="000E5D20">
      <w:pPr>
        <w:pStyle w:val="Ruller4"/>
        <w:tabs>
          <w:tab w:val="num" w:pos="10307"/>
        </w:tabs>
        <w:rPr>
          <w:rtl/>
        </w:rPr>
      </w:pPr>
      <w:r w:rsidRPr="00643EF4">
        <w:rPr>
          <w:rFonts w:hint="cs"/>
          <w:rtl/>
        </w:rPr>
        <w:t xml:space="preserve">סעיף 3(1) לחוק קובע כי הממונה "ירשום" מקרקעין שאין בהם בעל זכויות כרכוש ממשלתי וזאת, בתוך 12 חודשים מיום פרסום החוק (סעיף 4(א) לחוק). במהלך תקופה זו רשאי הטוען לזיקה במקרקעין לנסות ולהוכיח את זכויותיו, וככל שהדבר יעלה בידיו יחול לגביהם מסלול ההסדרה הקבוע בסעיף 3(2) לחוק שעליו עמדנו לעיל. סעיף 5 לחוק ההסדרה הנוגע להקצאת הזכויות לצרכי ההתיישבות שנבנתה, חל בהתאמה גם על מסלול ההסדרה שבסעיף 3(1) לחוק. </w:t>
      </w:r>
    </w:p>
    <w:p w14:paraId="539B39C1" w14:textId="77777777" w:rsidR="000E5D20" w:rsidRPr="00643EF4" w:rsidRDefault="000E5D20" w:rsidP="000E5D20">
      <w:pPr>
        <w:pStyle w:val="Ruller4"/>
        <w:numPr>
          <w:ilvl w:val="0"/>
          <w:numId w:val="0"/>
        </w:numPr>
        <w:rPr>
          <w:rtl/>
        </w:rPr>
      </w:pPr>
    </w:p>
    <w:p w14:paraId="050371AA" w14:textId="37D202AE" w:rsidR="000E5D20" w:rsidRPr="00643EF4" w:rsidRDefault="000E5D20" w:rsidP="000E5D20">
      <w:pPr>
        <w:pStyle w:val="Ruller4"/>
        <w:tabs>
          <w:tab w:val="num" w:pos="10307"/>
        </w:tabs>
        <w:rPr>
          <w:rtl/>
        </w:rPr>
      </w:pPr>
      <w:r w:rsidRPr="00643EF4">
        <w:rPr>
          <w:rtl/>
        </w:rPr>
        <w:tab/>
      </w:r>
      <w:r w:rsidRPr="00643EF4">
        <w:rPr>
          <w:rFonts w:hint="cs"/>
          <w:rtl/>
        </w:rPr>
        <w:t xml:space="preserve">ההסדר הקבוע בסעיף 3(1) מתייחס אמנם לפי נוסחו למצבים שבהם </w:t>
      </w:r>
      <w:r w:rsidRPr="00643EF4">
        <w:rPr>
          <w:rFonts w:cs="Miriam" w:hint="cs"/>
          <w:b/>
          <w:spacing w:val="0"/>
          <w:szCs w:val="24"/>
          <w:rtl/>
        </w:rPr>
        <w:t xml:space="preserve">אין </w:t>
      </w:r>
      <w:r w:rsidRPr="00643EF4">
        <w:rPr>
          <w:rFonts w:hint="cs"/>
          <w:rtl/>
        </w:rPr>
        <w:t xml:space="preserve">בעל זכות במקרקעין. אך בצדק ציין היועץ המשפטי לממשלה כי לא ניתן להתעלם מן הפגיעה הקשה בזכות הקניינית של תושבי אזור פלסטינים בשל רישום אדמות כרכוש ממשלתי לפי סעיף זה. היועץ מתייחס בהקשר זה למציאות המשפטית והעובדתית המתקיימת באזור ולמדיניות המוצהרת של המדינה מזה עשרות בשנים, בכל הקשור להסדרת אדמות האזור בציינו כי ככל שהדבר נוגע לאדמות אלה, הסדר המקרקעין לגביהן הופסק בהוראת </w:t>
      </w:r>
      <w:r w:rsidRPr="00643EF4">
        <w:rPr>
          <w:rFonts w:hint="cs"/>
          <w:rtl/>
        </w:rPr>
        <w:lastRenderedPageBreak/>
        <w:t xml:space="preserve">המפקד הצבאי לאחר כניסת כוחות צה"ל לאזור בשנת 1967 ולא חודש מאז. על כן, כך מוסיף היועץ ומציין "חלק הארי של המקרקעין באזור (כשני שלישים) אינו מוסדר ורשום [...] [ו]סעיף 3(1) לחוק תופס אפוא ברשתו גם מצבים שבהם מדובר במקרקעין, אשר למצער ברמת הראיות המינהליות יש לתושב פלוני זיקה קניינית מספקת אליהם, ומורה לרושמם בתוך 12 חודשים כרכוש ממשלתי". היועץ מדגיש כי ברור וגלוי שפרק זמן קצר זה אינו מאפשר הוכחת בעלות במקרקעין לא מוסדרים, או הוכחת זכות להירשם כבעל זכויות במקרקעין מסוג זה (ראו בהקשר זה בג"ץ 1315/12 </w:t>
      </w:r>
      <w:r w:rsidRPr="00643EF4">
        <w:rPr>
          <w:rFonts w:cs="Miriam" w:hint="cs"/>
          <w:b/>
          <w:spacing w:val="0"/>
          <w:szCs w:val="24"/>
          <w:rtl/>
        </w:rPr>
        <w:t>חושיה נ' שר הבטחון</w:t>
      </w:r>
      <w:r w:rsidRPr="00643EF4">
        <w:rPr>
          <w:rFonts w:hint="cs"/>
          <w:rtl/>
        </w:rPr>
        <w:t xml:space="preserve">, פסקה 4 (16.12.2014) </w:t>
      </w:r>
      <w:r w:rsidRPr="00643EF4">
        <w:rPr>
          <w:rtl/>
        </w:rPr>
        <w:t>(</w:t>
      </w:r>
      <w:r w:rsidRPr="00643EF4">
        <w:rPr>
          <w:rFonts w:hint="eastAsia"/>
          <w:rtl/>
        </w:rPr>
        <w:t>להלן</w:t>
      </w:r>
      <w:r w:rsidRPr="00643EF4">
        <w:rPr>
          <w:rtl/>
        </w:rPr>
        <w:t xml:space="preserve">: </w:t>
      </w:r>
      <w:r w:rsidRPr="00643EF4">
        <w:rPr>
          <w:rFonts w:hint="eastAsia"/>
          <w:rtl/>
        </w:rPr>
        <w:t>עניין</w:t>
      </w:r>
      <w:r w:rsidRPr="00643EF4">
        <w:rPr>
          <w:rtl/>
        </w:rPr>
        <w:t xml:space="preserve"> </w:t>
      </w:r>
      <w:r w:rsidRPr="00643EF4">
        <w:rPr>
          <w:rFonts w:cs="Miriam" w:hint="eastAsia"/>
          <w:b/>
          <w:spacing w:val="0"/>
          <w:szCs w:val="24"/>
          <w:rtl/>
        </w:rPr>
        <w:t>חושיה</w:t>
      </w:r>
      <w:r w:rsidRPr="00643EF4">
        <w:rPr>
          <w:rtl/>
        </w:rPr>
        <w:t>)</w:t>
      </w:r>
      <w:r w:rsidRPr="00643EF4">
        <w:rPr>
          <w:rFonts w:hint="cs"/>
          <w:rtl/>
        </w:rPr>
        <w:t xml:space="preserve">; </w:t>
      </w:r>
      <w:r w:rsidRPr="00643EF4">
        <w:rPr>
          <w:rFonts w:cs="Miriam"/>
          <w:bCs/>
          <w:spacing w:val="0"/>
          <w:szCs w:val="24"/>
        </w:rPr>
        <w:t>Private Property and Public Power</w:t>
      </w:r>
      <w:r w:rsidRPr="00643EF4">
        <w:rPr>
          <w:rFonts w:ascii="Arial TUR" w:hAnsi="Arial TUR" w:hint="cs"/>
          <w:rtl/>
        </w:rPr>
        <w:t xml:space="preserve">, בעמ' 132; </w:t>
      </w:r>
      <w:r w:rsidRPr="00643EF4">
        <w:rPr>
          <w:rFonts w:cs="Miriam" w:hint="cs"/>
          <w:b/>
          <w:spacing w:val="0"/>
          <w:szCs w:val="24"/>
          <w:rtl/>
        </w:rPr>
        <w:t>קדר</w:t>
      </w:r>
      <w:r w:rsidRPr="00643EF4">
        <w:rPr>
          <w:rFonts w:hint="cs"/>
          <w:rtl/>
        </w:rPr>
        <w:t xml:space="preserve">, בעמ' </w:t>
      </w:r>
      <w:r w:rsidRPr="00643EF4">
        <w:rPr>
          <w:rFonts w:ascii="Arial TUR" w:hAnsi="Arial TUR" w:hint="cs"/>
          <w:rtl/>
        </w:rPr>
        <w:t xml:space="preserve">727-711; רע"א 2505/16 </w:t>
      </w:r>
      <w:r w:rsidRPr="00643EF4">
        <w:rPr>
          <w:rFonts w:cs="Miriam" w:hint="cs"/>
          <w:b/>
          <w:spacing w:val="0"/>
          <w:szCs w:val="24"/>
          <w:rtl/>
        </w:rPr>
        <w:t>אנג'ל נ' המינהל האזרחי ביהודה ושומרון</w:t>
      </w:r>
      <w:r w:rsidRPr="00643EF4">
        <w:rPr>
          <w:rFonts w:hint="cs"/>
          <w:rtl/>
        </w:rPr>
        <w:t xml:space="preserve">, פסקה 31 (22.12.2016); </w:t>
      </w:r>
      <w:r w:rsidRPr="00643EF4">
        <w:rPr>
          <w:rFonts w:cs="Miriam" w:hint="cs"/>
          <w:b/>
          <w:spacing w:val="0"/>
          <w:szCs w:val="24"/>
          <w:rtl/>
        </w:rPr>
        <w:t>סוכובולסקי, כהן וארליך</w:t>
      </w:r>
      <w:r w:rsidRPr="00643EF4">
        <w:rPr>
          <w:rFonts w:hint="cs"/>
          <w:rtl/>
        </w:rPr>
        <w:t xml:space="preserve">, בעמ' 47-37 ובעמ' 51-50; </w:t>
      </w:r>
      <w:r w:rsidRPr="00643EF4">
        <w:rPr>
          <w:rFonts w:cs="Miriam" w:hint="cs"/>
          <w:b/>
          <w:spacing w:val="0"/>
          <w:szCs w:val="24"/>
          <w:rtl/>
        </w:rPr>
        <w:t>דיני רישום מקרקעין</w:t>
      </w:r>
      <w:r w:rsidRPr="00643EF4">
        <w:rPr>
          <w:rFonts w:hint="cs"/>
          <w:rtl/>
        </w:rPr>
        <w:t>, בעמ' 275-271</w:t>
      </w:r>
      <w:r w:rsidRPr="00643EF4">
        <w:rPr>
          <w:rFonts w:ascii="Arial TUR" w:hAnsi="Arial TUR" w:hint="cs"/>
          <w:rtl/>
        </w:rPr>
        <w:t xml:space="preserve">; </w:t>
      </w:r>
      <w:r w:rsidRPr="00643EF4">
        <w:rPr>
          <w:rFonts w:cs="Miriam" w:hint="cs"/>
          <w:b/>
          <w:spacing w:val="0"/>
          <w:szCs w:val="24"/>
          <w:rtl/>
        </w:rPr>
        <w:t>וינצקי וקרמר</w:t>
      </w:r>
      <w:r w:rsidRPr="00643EF4">
        <w:rPr>
          <w:rFonts w:hint="cs"/>
          <w:rtl/>
        </w:rPr>
        <w:t>, בעמ' 139-136</w:t>
      </w:r>
      <w:r w:rsidRPr="00643EF4">
        <w:rPr>
          <w:rFonts w:ascii="Arial TUR" w:hAnsi="Arial TUR" w:hint="cs"/>
          <w:rtl/>
        </w:rPr>
        <w:t>).</w:t>
      </w:r>
      <w:r w:rsidRPr="00643EF4">
        <w:rPr>
          <w:rFonts w:hint="cs"/>
          <w:rtl/>
        </w:rPr>
        <w:t xml:space="preserve"> על כן</w:t>
      </w:r>
      <w:r w:rsidR="00BA1110" w:rsidRPr="00643EF4">
        <w:rPr>
          <w:rFonts w:hint="cs"/>
          <w:rtl/>
        </w:rPr>
        <w:t>,</w:t>
      </w:r>
      <w:r w:rsidRPr="00643EF4">
        <w:rPr>
          <w:rFonts w:hint="cs"/>
          <w:rtl/>
        </w:rPr>
        <w:t xml:space="preserve"> אם יירשמו מקרקעין כאמור כרכוש ממשלתי בתום 12 חודשים אין מדובר רק בהפקעת זכות השימוש במקרקעין אלא בהפקעת </w:t>
      </w:r>
      <w:r w:rsidR="000C3232" w:rsidRPr="00643EF4">
        <w:rPr>
          <w:rFonts w:hint="cs"/>
          <w:rtl/>
        </w:rPr>
        <w:t xml:space="preserve">מכלול </w:t>
      </w:r>
      <w:r w:rsidRPr="00643EF4">
        <w:rPr>
          <w:rFonts w:hint="cs"/>
          <w:rtl/>
        </w:rPr>
        <w:t>הזכויות בהם ללא כל פיצוי, בכפוף לאמור בסעיף 8(ד) לחוק.</w:t>
      </w:r>
    </w:p>
    <w:p w14:paraId="702C4459" w14:textId="77777777" w:rsidR="000E5D20" w:rsidRPr="00643EF4" w:rsidRDefault="000E5D20" w:rsidP="000E5D20">
      <w:pPr>
        <w:pStyle w:val="Ruller41"/>
        <w:rPr>
          <w:rtl/>
        </w:rPr>
      </w:pPr>
    </w:p>
    <w:p w14:paraId="6D46F002" w14:textId="77777777" w:rsidR="000E5D20" w:rsidRPr="00643EF4" w:rsidRDefault="000E5D20" w:rsidP="000E5D20">
      <w:pPr>
        <w:pStyle w:val="Ruller41"/>
      </w:pPr>
      <w:r w:rsidRPr="00643EF4">
        <w:rPr>
          <w:rtl/>
        </w:rPr>
        <w:tab/>
      </w:r>
      <w:r w:rsidRPr="00643EF4">
        <w:rPr>
          <w:rFonts w:hint="cs"/>
          <w:rtl/>
        </w:rPr>
        <w:t xml:space="preserve">לסיכום הפרק הנוגע לפגיעה בזכות הקניין ניתן לומר כי סעיף 3 על שני מסלולי ההסדרה הקבועים בו פוגע בזכות לקניין של תושבי אזור פלסטינים. </w:t>
      </w:r>
    </w:p>
    <w:p w14:paraId="5572694C" w14:textId="77777777" w:rsidR="000E5D20" w:rsidRPr="00643EF4" w:rsidRDefault="000E5D20" w:rsidP="000E5D20">
      <w:pPr>
        <w:pStyle w:val="Ruller41"/>
        <w:rPr>
          <w:rtl/>
        </w:rPr>
      </w:pPr>
    </w:p>
    <w:p w14:paraId="213E6A18"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הזכות לשוויון ולכבוד</w:t>
      </w:r>
    </w:p>
    <w:p w14:paraId="7278DA41" w14:textId="77777777" w:rsidR="000E5D20" w:rsidRPr="00643EF4" w:rsidRDefault="000E5D20" w:rsidP="000E5D20">
      <w:pPr>
        <w:pStyle w:val="Ruller41"/>
        <w:rPr>
          <w:rtl/>
        </w:rPr>
      </w:pPr>
    </w:p>
    <w:p w14:paraId="2159F104" w14:textId="77777777" w:rsidR="000E5D20" w:rsidRPr="00643EF4" w:rsidRDefault="000E5D20" w:rsidP="000E5D20">
      <w:pPr>
        <w:pStyle w:val="Ruller4"/>
        <w:tabs>
          <w:tab w:val="num" w:pos="10307"/>
        </w:tabs>
        <w:rPr>
          <w:rFonts w:ascii="Century" w:hAnsi="Century"/>
          <w:sz w:val="22"/>
          <w:rtl/>
        </w:rPr>
      </w:pPr>
      <w:r w:rsidRPr="00643EF4">
        <w:rPr>
          <w:rFonts w:hint="cs"/>
          <w:rtl/>
        </w:rPr>
        <w:t xml:space="preserve">הזכות לשוויון היא "נשמת אפו של המשטר החוקתי שלנו כולו" (בג"ץ 98/69 </w:t>
      </w:r>
      <w:r w:rsidRPr="00643EF4">
        <w:rPr>
          <w:rFonts w:cs="Miriam" w:hint="cs"/>
          <w:b/>
          <w:spacing w:val="0"/>
          <w:szCs w:val="24"/>
          <w:rtl/>
        </w:rPr>
        <w:t>ברגמן נ' שר האוצר</w:t>
      </w:r>
      <w:r w:rsidRPr="00643EF4">
        <w:rPr>
          <w:rFonts w:hint="cs"/>
          <w:rtl/>
        </w:rPr>
        <w:t xml:space="preserve">, פ"ד כג(1) 693, 698 (1969)). </w:t>
      </w:r>
      <w:r w:rsidRPr="00643EF4">
        <w:rPr>
          <w:rFonts w:ascii="Century" w:hAnsi="Century" w:hint="cs"/>
          <w:sz w:val="22"/>
          <w:rtl/>
        </w:rPr>
        <w:t xml:space="preserve">וכבר נפסק כי "הצורך להבטיח שוויון הוא טבעי לאדם. הוא מבוסס על שיקולים של צדק והגינות [...] השוויון שומר על השלטון מפני השרירות" (בג"ץ 953/87 </w:t>
      </w:r>
      <w:r w:rsidRPr="00643EF4">
        <w:rPr>
          <w:rFonts w:ascii="Century" w:hAnsi="Century" w:cs="Miriam" w:hint="cs"/>
          <w:b/>
          <w:spacing w:val="0"/>
          <w:sz w:val="22"/>
          <w:szCs w:val="24"/>
          <w:rtl/>
        </w:rPr>
        <w:t>פורז נ' שלמה להט, ראש עירית תל-אביב-יפו</w:t>
      </w:r>
      <w:r w:rsidRPr="00643EF4">
        <w:rPr>
          <w:rFonts w:ascii="Century" w:hAnsi="Century" w:hint="cs"/>
          <w:sz w:val="22"/>
          <w:rtl/>
        </w:rPr>
        <w:t xml:space="preserve">, פ"ד מב(2) 309, 332 (1988)), והוא "אמצעי להשגת צדק, דרך לביצוע תפקידיה של הרשות ביושר ובהגינות, על-מנת להגיע לתוצאה צודקת" (דברי השופטת </w:t>
      </w:r>
      <w:r w:rsidRPr="00643EF4">
        <w:rPr>
          <w:rFonts w:ascii="Century" w:hAnsi="Century" w:cs="Miriam" w:hint="cs"/>
          <w:b/>
          <w:spacing w:val="0"/>
          <w:sz w:val="22"/>
          <w:szCs w:val="24"/>
          <w:rtl/>
        </w:rPr>
        <w:t>ש' נתניהו</w:t>
      </w:r>
      <w:r w:rsidRPr="00643EF4">
        <w:rPr>
          <w:rFonts w:ascii="Century" w:hAnsi="Century" w:hint="cs"/>
          <w:sz w:val="22"/>
          <w:rtl/>
        </w:rPr>
        <w:t xml:space="preserve"> בבג"ץ 720/82 </w:t>
      </w:r>
      <w:r w:rsidRPr="00643EF4">
        <w:rPr>
          <w:rFonts w:ascii="Century" w:hAnsi="Century" w:cs="Miriam" w:hint="cs"/>
          <w:b/>
          <w:spacing w:val="0"/>
          <w:sz w:val="22"/>
          <w:szCs w:val="24"/>
          <w:rtl/>
        </w:rPr>
        <w:t>אליצור אגוד ספורטיבי דתי סניף נהריה נ' עיריית נהריה</w:t>
      </w:r>
      <w:r w:rsidRPr="00643EF4">
        <w:rPr>
          <w:rFonts w:ascii="Century" w:hAnsi="Century" w:hint="cs"/>
          <w:sz w:val="22"/>
          <w:rtl/>
        </w:rPr>
        <w:t>, פ"ד לז(3) 17, 20 (1983))</w:t>
      </w:r>
      <w:r w:rsidRPr="00643EF4">
        <w:rPr>
          <w:rFonts w:hint="cs"/>
          <w:rtl/>
        </w:rPr>
        <w:t xml:space="preserve">. אך </w:t>
      </w:r>
      <w:r w:rsidRPr="00643EF4">
        <w:rPr>
          <w:rFonts w:ascii="Century" w:hAnsi="Century" w:hint="cs"/>
          <w:sz w:val="22"/>
          <w:rtl/>
        </w:rPr>
        <w:t>לא כל פגיעה בו תחשב פגיעה בזכות במובנה החוקתי. מודל הביניים שאימץ בית משפט זה ב</w:t>
      </w:r>
      <w:r w:rsidRPr="00643EF4">
        <w:rPr>
          <w:rFonts w:hint="cs"/>
          <w:rtl/>
        </w:rPr>
        <w:t xml:space="preserve">בג"ץ 6427/02 </w:t>
      </w:r>
      <w:r w:rsidRPr="00643EF4">
        <w:rPr>
          <w:rFonts w:ascii="Century" w:hAnsi="Century" w:cs="Miriam" w:hint="cs"/>
          <w:b/>
          <w:spacing w:val="0"/>
          <w:sz w:val="22"/>
          <w:szCs w:val="24"/>
          <w:rtl/>
        </w:rPr>
        <w:t>התנועה לאיכות השלטון בישראל נ' הכנסת</w:t>
      </w:r>
      <w:r w:rsidRPr="00643EF4">
        <w:rPr>
          <w:rFonts w:ascii="Century" w:hAnsi="Century" w:hint="cs"/>
          <w:sz w:val="22"/>
          <w:rtl/>
        </w:rPr>
        <w:t xml:space="preserve"> (11.5.2006) קובע כי הזכות לשוויון היא חלק מזכותו של אדם לכבוד, המעוגנת בסעיף 2 לחוק היסוד, ובלבד שהיא קשורה לכבודו בקשר הדוק</w:t>
      </w:r>
      <w:r w:rsidRPr="00643EF4">
        <w:rPr>
          <w:rFonts w:hint="cs"/>
          <w:sz w:val="28"/>
          <w:rtl/>
        </w:rPr>
        <w:t xml:space="preserve"> (</w:t>
      </w:r>
      <w:r w:rsidRPr="00643EF4">
        <w:rPr>
          <w:rFonts w:ascii="Century" w:hAnsi="Century" w:cs="Miriam" w:hint="cs"/>
          <w:b/>
          <w:spacing w:val="0"/>
          <w:sz w:val="22"/>
          <w:szCs w:val="24"/>
          <w:rtl/>
        </w:rPr>
        <w:t>שם</w:t>
      </w:r>
      <w:r w:rsidRPr="00643EF4">
        <w:rPr>
          <w:rFonts w:ascii="Century" w:hAnsi="Century" w:hint="cs"/>
          <w:sz w:val="22"/>
          <w:rtl/>
        </w:rPr>
        <w:t xml:space="preserve">, פסקה 38 לחוות דעתו של הנשיא </w:t>
      </w:r>
      <w:r w:rsidRPr="00643EF4">
        <w:rPr>
          <w:rFonts w:ascii="Century" w:hAnsi="Century" w:cs="Miriam" w:hint="cs"/>
          <w:b/>
          <w:spacing w:val="0"/>
          <w:sz w:val="22"/>
          <w:szCs w:val="24"/>
          <w:rtl/>
        </w:rPr>
        <w:t>א' ברק</w:t>
      </w:r>
      <w:r w:rsidRPr="00643EF4">
        <w:rPr>
          <w:rFonts w:ascii="Century" w:hAnsi="Century" w:hint="cs"/>
          <w:sz w:val="22"/>
          <w:rtl/>
        </w:rPr>
        <w:t xml:space="preserve">; ראו עוד בג"ץ 2911/05 </w:t>
      </w:r>
      <w:r w:rsidRPr="00643EF4">
        <w:rPr>
          <w:rFonts w:ascii="Century" w:hAnsi="Century" w:cs="Miriam" w:hint="cs"/>
          <w:b/>
          <w:spacing w:val="0"/>
          <w:sz w:val="22"/>
          <w:szCs w:val="24"/>
          <w:rtl/>
        </w:rPr>
        <w:t>אלחנתי נ' שר האוצר</w:t>
      </w:r>
      <w:r w:rsidRPr="00643EF4">
        <w:rPr>
          <w:rFonts w:ascii="Century" w:hAnsi="Century" w:hint="cs"/>
          <w:sz w:val="22"/>
          <w:rtl/>
        </w:rPr>
        <w:t xml:space="preserve">, פסקה 17 לחוות דעתי (15.6.2008); בג"ץ 1213/10 </w:t>
      </w:r>
      <w:r w:rsidRPr="00643EF4">
        <w:rPr>
          <w:rFonts w:ascii="Century" w:hAnsi="Century" w:cs="Miriam" w:hint="cs"/>
          <w:b/>
          <w:spacing w:val="0"/>
          <w:sz w:val="22"/>
          <w:szCs w:val="24"/>
          <w:rtl/>
        </w:rPr>
        <w:t>ניר נ' יו"ר הכנסת</w:t>
      </w:r>
      <w:r w:rsidRPr="00643EF4">
        <w:rPr>
          <w:rFonts w:ascii="Century" w:hAnsi="Century" w:hint="cs"/>
          <w:sz w:val="22"/>
          <w:rtl/>
        </w:rPr>
        <w:t xml:space="preserve">, פסקה 11 לחוות דעתה של הנשיאה </w:t>
      </w:r>
      <w:r w:rsidRPr="00643EF4">
        <w:rPr>
          <w:rFonts w:ascii="Century" w:hAnsi="Century" w:cs="Miriam" w:hint="cs"/>
          <w:b/>
          <w:spacing w:val="0"/>
          <w:sz w:val="22"/>
          <w:szCs w:val="24"/>
          <w:rtl/>
        </w:rPr>
        <w:t>ד' ביניש</w:t>
      </w:r>
      <w:r w:rsidRPr="00643EF4">
        <w:rPr>
          <w:rFonts w:ascii="Century" w:hAnsi="Century" w:hint="cs"/>
          <w:sz w:val="22"/>
          <w:rtl/>
        </w:rPr>
        <w:t xml:space="preserve"> (23.2.2012) (להלן: עניין </w:t>
      </w:r>
      <w:r w:rsidRPr="00643EF4">
        <w:rPr>
          <w:rFonts w:ascii="Century" w:hAnsi="Century" w:cs="Miriam" w:hint="cs"/>
          <w:b/>
          <w:spacing w:val="0"/>
          <w:sz w:val="22"/>
          <w:szCs w:val="24"/>
          <w:rtl/>
        </w:rPr>
        <w:t>ניר</w:t>
      </w:r>
      <w:r w:rsidRPr="00643EF4">
        <w:rPr>
          <w:rFonts w:ascii="Century" w:hAnsi="Century" w:hint="cs"/>
          <w:sz w:val="22"/>
          <w:rtl/>
        </w:rPr>
        <w:t>);</w:t>
      </w:r>
      <w:r w:rsidRPr="00643EF4">
        <w:rPr>
          <w:rFonts w:ascii="FrankRuehl" w:hAnsi="FrankRuehl" w:hint="cs"/>
          <w:color w:val="000000"/>
          <w:sz w:val="28"/>
          <w:rtl/>
        </w:rPr>
        <w:t xml:space="preserve"> </w:t>
      </w:r>
      <w:r w:rsidRPr="00643EF4">
        <w:rPr>
          <w:rFonts w:ascii="Century" w:hAnsi="Century" w:hint="cs"/>
          <w:sz w:val="22"/>
          <w:rtl/>
        </w:rPr>
        <w:t xml:space="preserve">בג"ץ 8300/02 </w:t>
      </w:r>
      <w:r w:rsidRPr="00643EF4">
        <w:rPr>
          <w:rFonts w:ascii="Century" w:hAnsi="Century" w:cs="Miriam" w:hint="cs"/>
          <w:b/>
          <w:spacing w:val="0"/>
          <w:sz w:val="22"/>
          <w:szCs w:val="24"/>
          <w:rtl/>
        </w:rPr>
        <w:t>נסר נ' ממשלת ישראל</w:t>
      </w:r>
      <w:r w:rsidRPr="00643EF4">
        <w:rPr>
          <w:rFonts w:ascii="Century" w:hAnsi="Century" w:hint="cs"/>
          <w:sz w:val="22"/>
          <w:rtl/>
        </w:rPr>
        <w:t xml:space="preserve">, פסקה 45-44 לחוות דעתה של הנשיאה (בדימ') </w:t>
      </w:r>
      <w:r w:rsidRPr="00643EF4">
        <w:rPr>
          <w:rFonts w:ascii="Century" w:hAnsi="Century" w:cs="Miriam" w:hint="cs"/>
          <w:b/>
          <w:spacing w:val="0"/>
          <w:sz w:val="22"/>
          <w:szCs w:val="24"/>
          <w:rtl/>
        </w:rPr>
        <w:t>ד' ביניש</w:t>
      </w:r>
      <w:r w:rsidRPr="00643EF4">
        <w:rPr>
          <w:rFonts w:ascii="Century" w:hAnsi="Century" w:hint="cs"/>
          <w:sz w:val="22"/>
          <w:rtl/>
        </w:rPr>
        <w:t xml:space="preserve"> (22.5.2012) (להלן: עניין </w:t>
      </w:r>
      <w:r w:rsidRPr="00643EF4">
        <w:rPr>
          <w:rFonts w:ascii="Century" w:hAnsi="Century" w:cs="Miriam" w:hint="cs"/>
          <w:b/>
          <w:spacing w:val="0"/>
          <w:sz w:val="22"/>
          <w:szCs w:val="24"/>
          <w:rtl/>
        </w:rPr>
        <w:t>נסר</w:t>
      </w:r>
      <w:r w:rsidRPr="00643EF4">
        <w:rPr>
          <w:rFonts w:ascii="Century" w:hAnsi="Century" w:hint="cs"/>
          <w:sz w:val="22"/>
          <w:rtl/>
        </w:rPr>
        <w:t>);</w:t>
      </w:r>
      <w:r w:rsidRPr="00643EF4">
        <w:rPr>
          <w:rFonts w:ascii="FrankRuehl" w:hAnsi="FrankRuehl" w:hint="cs"/>
          <w:color w:val="000000"/>
          <w:sz w:val="28"/>
          <w:rtl/>
        </w:rPr>
        <w:t xml:space="preserve"> </w:t>
      </w:r>
      <w:r w:rsidRPr="00643EF4">
        <w:rPr>
          <w:rFonts w:ascii="Century" w:hAnsi="Century" w:hint="cs"/>
          <w:sz w:val="22"/>
          <w:rtl/>
        </w:rPr>
        <w:t xml:space="preserve">ברק מדינה </w:t>
      </w:r>
      <w:r w:rsidRPr="00643EF4">
        <w:rPr>
          <w:rFonts w:ascii="Century" w:hAnsi="Century" w:cs="Miriam" w:hint="cs"/>
          <w:b/>
          <w:spacing w:val="0"/>
          <w:sz w:val="22"/>
          <w:szCs w:val="24"/>
          <w:rtl/>
        </w:rPr>
        <w:t>דיני זכויות האדם בישראל</w:t>
      </w:r>
      <w:r w:rsidRPr="00643EF4">
        <w:rPr>
          <w:rFonts w:ascii="Century" w:hAnsi="Century" w:hint="cs"/>
          <w:sz w:val="22"/>
          <w:rtl/>
        </w:rPr>
        <w:t xml:space="preserve"> 287-285 (2016) </w:t>
      </w:r>
      <w:r w:rsidRPr="00643EF4">
        <w:rPr>
          <w:rFonts w:ascii="Century" w:hAnsi="Century"/>
          <w:sz w:val="22"/>
          <w:rtl/>
        </w:rPr>
        <w:t>(</w:t>
      </w:r>
      <w:r w:rsidRPr="00643EF4">
        <w:rPr>
          <w:rFonts w:ascii="Century" w:hAnsi="Century" w:hint="eastAsia"/>
          <w:sz w:val="22"/>
          <w:rtl/>
        </w:rPr>
        <w:t>להלן</w:t>
      </w:r>
      <w:r w:rsidRPr="00643EF4">
        <w:rPr>
          <w:rFonts w:ascii="Century" w:hAnsi="Century"/>
          <w:sz w:val="22"/>
          <w:rtl/>
        </w:rPr>
        <w:t xml:space="preserve">: </w:t>
      </w:r>
      <w:r w:rsidRPr="00643EF4">
        <w:rPr>
          <w:rFonts w:ascii="Century" w:hAnsi="Century" w:cs="Miriam" w:hint="cs"/>
          <w:b/>
          <w:spacing w:val="0"/>
          <w:sz w:val="22"/>
          <w:szCs w:val="24"/>
          <w:rtl/>
        </w:rPr>
        <w:t>ברק מדינה</w:t>
      </w:r>
      <w:r w:rsidRPr="00643EF4">
        <w:rPr>
          <w:rFonts w:ascii="Century" w:hAnsi="Century" w:hint="cs"/>
          <w:sz w:val="22"/>
          <w:rtl/>
        </w:rPr>
        <w:t>))</w:t>
      </w:r>
      <w:r w:rsidRPr="00643EF4">
        <w:rPr>
          <w:rFonts w:hint="cs"/>
          <w:sz w:val="28"/>
          <w:rtl/>
        </w:rPr>
        <w:t xml:space="preserve">. </w:t>
      </w:r>
      <w:r w:rsidRPr="00643EF4">
        <w:rPr>
          <w:rFonts w:hint="cs"/>
          <w:rtl/>
        </w:rPr>
        <w:t xml:space="preserve">כך גם נפסק בעבר כי המבחן לקיומה של אפליה הוא מבחן אובייקטיבי המתמקד בתוצאה של מימוש </w:t>
      </w:r>
      <w:r w:rsidRPr="00643EF4">
        <w:rPr>
          <w:rFonts w:hint="cs"/>
          <w:rtl/>
        </w:rPr>
        <w:lastRenderedPageBreak/>
        <w:t xml:space="preserve">הנורמה העומדת לביקורת, והוא אינו מוגבל אך למחשבתו הסובייקטיבית של יוצר הנורמה. השאלה אינה אם קיימת כוונה להפלות קבוצה זו או אחרת, אלא מהי התוצאה הנוצרת במציאות בעקבותיה (בג"ץ 11163/03 </w:t>
      </w:r>
      <w:r w:rsidRPr="00643EF4">
        <w:rPr>
          <w:rFonts w:cs="Miriam" w:hint="eastAsia"/>
          <w:b/>
          <w:spacing w:val="0"/>
          <w:szCs w:val="24"/>
          <w:rtl/>
        </w:rPr>
        <w:t>ועדת</w:t>
      </w:r>
      <w:r w:rsidRPr="00643EF4">
        <w:rPr>
          <w:rFonts w:cs="Miriam"/>
          <w:b/>
          <w:spacing w:val="0"/>
          <w:szCs w:val="24"/>
          <w:rtl/>
        </w:rPr>
        <w:t xml:space="preserve"> </w:t>
      </w:r>
      <w:r w:rsidRPr="00643EF4">
        <w:rPr>
          <w:rFonts w:cs="Miriam" w:hint="eastAsia"/>
          <w:b/>
          <w:spacing w:val="0"/>
          <w:szCs w:val="24"/>
          <w:rtl/>
        </w:rPr>
        <w:t>המעקב</w:t>
      </w:r>
      <w:r w:rsidRPr="00643EF4">
        <w:rPr>
          <w:rFonts w:cs="Miriam"/>
          <w:b/>
          <w:spacing w:val="0"/>
          <w:szCs w:val="24"/>
          <w:rtl/>
        </w:rPr>
        <w:t xml:space="preserve"> </w:t>
      </w:r>
      <w:r w:rsidRPr="00643EF4">
        <w:rPr>
          <w:rFonts w:cs="Miriam" w:hint="eastAsia"/>
          <w:b/>
          <w:spacing w:val="0"/>
          <w:szCs w:val="24"/>
          <w:rtl/>
        </w:rPr>
        <w:t>העליונה</w:t>
      </w:r>
      <w:r w:rsidRPr="00643EF4">
        <w:rPr>
          <w:rFonts w:cs="Miriam"/>
          <w:b/>
          <w:spacing w:val="0"/>
          <w:szCs w:val="24"/>
          <w:rtl/>
        </w:rPr>
        <w:t xml:space="preserve"> </w:t>
      </w:r>
      <w:r w:rsidRPr="00643EF4">
        <w:rPr>
          <w:rFonts w:cs="Miriam" w:hint="eastAsia"/>
          <w:b/>
          <w:spacing w:val="0"/>
          <w:szCs w:val="24"/>
          <w:rtl/>
        </w:rPr>
        <w:t>לענייני</w:t>
      </w:r>
      <w:r w:rsidRPr="00643EF4">
        <w:rPr>
          <w:rFonts w:cs="Miriam"/>
          <w:b/>
          <w:spacing w:val="0"/>
          <w:szCs w:val="24"/>
          <w:rtl/>
        </w:rPr>
        <w:t xml:space="preserve"> </w:t>
      </w:r>
      <w:r w:rsidRPr="00643EF4">
        <w:rPr>
          <w:rFonts w:cs="Miriam" w:hint="eastAsia"/>
          <w:b/>
          <w:spacing w:val="0"/>
          <w:szCs w:val="24"/>
          <w:rtl/>
        </w:rPr>
        <w:t>הערבים</w:t>
      </w:r>
      <w:r w:rsidRPr="00643EF4">
        <w:rPr>
          <w:rFonts w:cs="Miriam"/>
          <w:b/>
          <w:spacing w:val="0"/>
          <w:szCs w:val="24"/>
          <w:rtl/>
        </w:rPr>
        <w:t xml:space="preserve"> </w:t>
      </w:r>
      <w:r w:rsidRPr="00643EF4">
        <w:rPr>
          <w:rFonts w:cs="Miriam" w:hint="eastAsia"/>
          <w:b/>
          <w:spacing w:val="0"/>
          <w:szCs w:val="24"/>
          <w:rtl/>
        </w:rPr>
        <w:t>בישראל</w:t>
      </w:r>
      <w:r w:rsidRPr="00643EF4">
        <w:rPr>
          <w:rFonts w:cs="Miriam"/>
          <w:b/>
          <w:spacing w:val="0"/>
          <w:szCs w:val="24"/>
          <w:rtl/>
        </w:rPr>
        <w:t xml:space="preserve"> </w:t>
      </w:r>
      <w:r w:rsidRPr="00643EF4">
        <w:rPr>
          <w:rFonts w:cs="Miriam" w:hint="eastAsia"/>
          <w:b/>
          <w:spacing w:val="0"/>
          <w:szCs w:val="24"/>
          <w:rtl/>
        </w:rPr>
        <w:t>נ</w:t>
      </w:r>
      <w:r w:rsidRPr="00643EF4">
        <w:rPr>
          <w:rFonts w:cs="Miriam"/>
          <w:b/>
          <w:spacing w:val="0"/>
          <w:szCs w:val="24"/>
          <w:rtl/>
        </w:rPr>
        <w:t xml:space="preserve">' </w:t>
      </w:r>
      <w:r w:rsidRPr="00643EF4">
        <w:rPr>
          <w:rFonts w:cs="Miriam" w:hint="eastAsia"/>
          <w:b/>
          <w:spacing w:val="0"/>
          <w:szCs w:val="24"/>
          <w:rtl/>
        </w:rPr>
        <w:t>ראש</w:t>
      </w:r>
      <w:r w:rsidRPr="00643EF4">
        <w:rPr>
          <w:rFonts w:cs="Miriam"/>
          <w:b/>
          <w:spacing w:val="0"/>
          <w:szCs w:val="24"/>
          <w:rtl/>
        </w:rPr>
        <w:t xml:space="preserve"> </w:t>
      </w:r>
      <w:r w:rsidRPr="00643EF4">
        <w:rPr>
          <w:rFonts w:cs="Miriam" w:hint="eastAsia"/>
          <w:b/>
          <w:spacing w:val="0"/>
          <w:szCs w:val="24"/>
          <w:rtl/>
        </w:rPr>
        <w:t>ממשלת</w:t>
      </w:r>
      <w:r w:rsidRPr="00643EF4">
        <w:rPr>
          <w:rFonts w:cs="Miriam"/>
          <w:b/>
          <w:spacing w:val="0"/>
          <w:szCs w:val="24"/>
          <w:rtl/>
        </w:rPr>
        <w:t xml:space="preserve"> </w:t>
      </w:r>
      <w:r w:rsidRPr="00643EF4">
        <w:rPr>
          <w:rFonts w:cs="Miriam" w:hint="eastAsia"/>
          <w:b/>
          <w:spacing w:val="0"/>
          <w:szCs w:val="24"/>
          <w:rtl/>
        </w:rPr>
        <w:t>ישראל</w:t>
      </w:r>
      <w:r w:rsidRPr="00643EF4">
        <w:rPr>
          <w:rFonts w:hint="cs"/>
          <w:rtl/>
        </w:rPr>
        <w:t xml:space="preserve">, פסקה 18 לחוות דעתו של הנשיא </w:t>
      </w:r>
      <w:r w:rsidRPr="00643EF4">
        <w:rPr>
          <w:rFonts w:cs="Miriam" w:hint="eastAsia"/>
          <w:b/>
          <w:spacing w:val="0"/>
          <w:szCs w:val="24"/>
          <w:rtl/>
        </w:rPr>
        <w:t>א</w:t>
      </w:r>
      <w:r w:rsidRPr="00643EF4">
        <w:rPr>
          <w:rFonts w:cs="Miriam"/>
          <w:b/>
          <w:spacing w:val="0"/>
          <w:szCs w:val="24"/>
          <w:rtl/>
        </w:rPr>
        <w:t xml:space="preserve">' </w:t>
      </w:r>
      <w:r w:rsidRPr="00643EF4">
        <w:rPr>
          <w:rFonts w:cs="Miriam" w:hint="eastAsia"/>
          <w:b/>
          <w:spacing w:val="0"/>
          <w:szCs w:val="24"/>
          <w:rtl/>
        </w:rPr>
        <w:t>ברק</w:t>
      </w:r>
      <w:r w:rsidRPr="00643EF4">
        <w:rPr>
          <w:rFonts w:hint="cs"/>
          <w:rtl/>
        </w:rPr>
        <w:t xml:space="preserve"> (27.2.2006) (להלן: עניין </w:t>
      </w:r>
      <w:r w:rsidRPr="00643EF4">
        <w:rPr>
          <w:rFonts w:cs="Miriam" w:hint="eastAsia"/>
          <w:b/>
          <w:spacing w:val="0"/>
          <w:szCs w:val="24"/>
          <w:rtl/>
        </w:rPr>
        <w:t>ועדת</w:t>
      </w:r>
      <w:r w:rsidRPr="00643EF4">
        <w:rPr>
          <w:rFonts w:cs="Miriam"/>
          <w:b/>
          <w:spacing w:val="0"/>
          <w:szCs w:val="24"/>
          <w:rtl/>
        </w:rPr>
        <w:t xml:space="preserve"> </w:t>
      </w:r>
      <w:r w:rsidRPr="00643EF4">
        <w:rPr>
          <w:rFonts w:cs="Miriam" w:hint="eastAsia"/>
          <w:b/>
          <w:spacing w:val="0"/>
          <w:szCs w:val="24"/>
          <w:rtl/>
        </w:rPr>
        <w:t>המעקב</w:t>
      </w:r>
      <w:r w:rsidRPr="00643EF4">
        <w:rPr>
          <w:rFonts w:cs="Miriam"/>
          <w:b/>
          <w:spacing w:val="0"/>
          <w:szCs w:val="24"/>
          <w:rtl/>
        </w:rPr>
        <w:t xml:space="preserve"> </w:t>
      </w:r>
      <w:r w:rsidRPr="00643EF4">
        <w:rPr>
          <w:rFonts w:cs="Miriam" w:hint="eastAsia"/>
          <w:b/>
          <w:spacing w:val="0"/>
          <w:szCs w:val="24"/>
          <w:rtl/>
        </w:rPr>
        <w:t>העליונה</w:t>
      </w:r>
      <w:r w:rsidRPr="00643EF4">
        <w:rPr>
          <w:rtl/>
        </w:rPr>
        <w:t>)</w:t>
      </w:r>
      <w:r w:rsidRPr="00643EF4">
        <w:rPr>
          <w:rFonts w:hint="cs"/>
          <w:rtl/>
        </w:rPr>
        <w:t xml:space="preserve">; השוו לעניין </w:t>
      </w:r>
      <w:r w:rsidRPr="00643EF4">
        <w:rPr>
          <w:rFonts w:ascii="Century" w:hAnsi="Century" w:cs="Miriam" w:hint="eastAsia"/>
          <w:b/>
          <w:spacing w:val="0"/>
          <w:sz w:val="22"/>
          <w:szCs w:val="24"/>
          <w:rtl/>
        </w:rPr>
        <w:t>אבו</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צפייה</w:t>
      </w:r>
      <w:r w:rsidRPr="00643EF4">
        <w:rPr>
          <w:rFonts w:hint="cs"/>
          <w:rtl/>
        </w:rPr>
        <w:t xml:space="preserve">, פסקה 5 לחוות דעתה של הנשיאה </w:t>
      </w:r>
      <w:r w:rsidRPr="00643EF4">
        <w:rPr>
          <w:rFonts w:cs="Miriam" w:hint="eastAsia"/>
          <w:b/>
          <w:spacing w:val="0"/>
          <w:szCs w:val="24"/>
          <w:rtl/>
        </w:rPr>
        <w:t>ד</w:t>
      </w:r>
      <w:r w:rsidRPr="00643EF4">
        <w:rPr>
          <w:rFonts w:cs="Miriam"/>
          <w:b/>
          <w:spacing w:val="0"/>
          <w:szCs w:val="24"/>
          <w:rtl/>
        </w:rPr>
        <w:t xml:space="preserve">' </w:t>
      </w:r>
      <w:r w:rsidRPr="00643EF4">
        <w:rPr>
          <w:rFonts w:cs="Miriam" w:hint="eastAsia"/>
          <w:b/>
          <w:spacing w:val="0"/>
          <w:szCs w:val="24"/>
          <w:rtl/>
        </w:rPr>
        <w:t>ביניש</w:t>
      </w:r>
      <w:r w:rsidRPr="00643EF4">
        <w:rPr>
          <w:rFonts w:hint="cs"/>
          <w:rtl/>
        </w:rPr>
        <w:t>).</w:t>
      </w:r>
    </w:p>
    <w:p w14:paraId="127FF49B" w14:textId="77777777" w:rsidR="000E5D20" w:rsidRPr="00643EF4" w:rsidRDefault="000E5D20" w:rsidP="000E5D20">
      <w:pPr>
        <w:pStyle w:val="Ruller41"/>
        <w:rPr>
          <w:rtl/>
        </w:rPr>
      </w:pPr>
    </w:p>
    <w:p w14:paraId="51D7A318" w14:textId="77777777" w:rsidR="000E5D20" w:rsidRPr="00643EF4" w:rsidRDefault="000E5D20" w:rsidP="000E5D20">
      <w:pPr>
        <w:pStyle w:val="Ruller4"/>
        <w:tabs>
          <w:tab w:val="num" w:pos="10307"/>
        </w:tabs>
      </w:pPr>
      <w:r w:rsidRPr="00643EF4">
        <w:rPr>
          <w:rFonts w:hint="cs"/>
          <w:rtl/>
        </w:rPr>
        <w:t>האם פרט לפגיעתו בזכות החוקתית לקניין, פוגע חוק ההסדרה גם בזכות לכבוד ולשוויון של תושבי האזור הפלסטינים?</w:t>
      </w:r>
    </w:p>
    <w:p w14:paraId="58989FD1" w14:textId="77777777" w:rsidR="000E5D20" w:rsidRPr="00643EF4" w:rsidRDefault="000E5D20" w:rsidP="000E5D20">
      <w:pPr>
        <w:pStyle w:val="Ruller4"/>
        <w:numPr>
          <w:ilvl w:val="0"/>
          <w:numId w:val="0"/>
        </w:numPr>
      </w:pPr>
    </w:p>
    <w:p w14:paraId="7237F56E" w14:textId="77777777" w:rsidR="000E5D20" w:rsidRPr="00643EF4" w:rsidRDefault="000E5D20" w:rsidP="000E5D20">
      <w:pPr>
        <w:pStyle w:val="Ruller4"/>
        <w:numPr>
          <w:ilvl w:val="0"/>
          <w:numId w:val="0"/>
        </w:numPr>
      </w:pPr>
      <w:r w:rsidRPr="00643EF4">
        <w:rPr>
          <w:rtl/>
        </w:rPr>
        <w:tab/>
      </w:r>
      <w:r w:rsidRPr="00643EF4">
        <w:rPr>
          <w:rFonts w:hint="cs"/>
          <w:rtl/>
        </w:rPr>
        <w:t xml:space="preserve">העותרים טוענים בהקשר זה </w:t>
      </w:r>
      <w:r w:rsidRPr="00643EF4">
        <w:rPr>
          <w:rtl/>
        </w:rPr>
        <w:t>–</w:t>
      </w:r>
      <w:r w:rsidRPr="00643EF4">
        <w:rPr>
          <w:rFonts w:hint="cs"/>
          <w:rtl/>
        </w:rPr>
        <w:t xml:space="preserve"> בין היתר </w:t>
      </w:r>
      <w:r w:rsidRPr="00643EF4">
        <w:rPr>
          <w:rtl/>
        </w:rPr>
        <w:t>–</w:t>
      </w:r>
      <w:r w:rsidRPr="00643EF4">
        <w:rPr>
          <w:rFonts w:hint="cs"/>
          <w:rtl/>
        </w:rPr>
        <w:t xml:space="preserve"> כי החוק מסדיר ומכשיר בדיעבד בנייה בלתי חוקית של תושבים ישראלים באזור בעוד שהתושבים הפלסטינים חשופים לסכנת אכיפה, הריסה ופינוי כתוצאה מבנייה בלתי חוקית שביצעו. בכך, לטענת העותרים, נגרמת פגיעה חריפה בזכותם של תושבי האזור הפלסטינים לשוויון. הם מפנים בהקשר זה לסעיפים 3, 5 ו-7 לחוק ההסדרה וטוענים כי הוראות אלה, על פי מהותן, נועדו להיטיב רק עם המתיישבים הישראלים באזור. </w:t>
      </w:r>
    </w:p>
    <w:p w14:paraId="67CF7B5D" w14:textId="77777777" w:rsidR="000E5D20" w:rsidRPr="00643EF4" w:rsidRDefault="000E5D20" w:rsidP="000E5D20">
      <w:pPr>
        <w:pStyle w:val="Ruller4"/>
        <w:numPr>
          <w:ilvl w:val="0"/>
          <w:numId w:val="0"/>
        </w:numPr>
        <w:rPr>
          <w:rtl/>
        </w:rPr>
      </w:pPr>
    </w:p>
    <w:p w14:paraId="1DBC891C" w14:textId="77777777" w:rsidR="000E5D20" w:rsidRPr="00643EF4" w:rsidRDefault="000E5D20" w:rsidP="000E5D20">
      <w:pPr>
        <w:pStyle w:val="Ruller4"/>
        <w:tabs>
          <w:tab w:val="num" w:pos="10307"/>
        </w:tabs>
        <w:rPr>
          <w:rtl/>
        </w:rPr>
      </w:pPr>
      <w:r w:rsidRPr="00643EF4">
        <w:rPr>
          <w:rFonts w:hint="cs"/>
          <w:rtl/>
        </w:rPr>
        <w:t>סעיף המטרה בחוק, כפי שאושר לבסוף בכנסת, נוסח אומנם באופן נייטראלי, וזו לשונו: "מטרת החוק היא להסדיר את ההתיישבות ביהודה ושומרון ולאפשר את המשך ביסוסה ופיתוחה"</w:t>
      </w:r>
      <w:r w:rsidRPr="00643EF4">
        <w:rPr>
          <w:rFonts w:ascii="Century" w:hAnsi="Century" w:hint="cs"/>
          <w:rtl/>
        </w:rPr>
        <w:t>.</w:t>
      </w:r>
      <w:r w:rsidRPr="00643EF4">
        <w:rPr>
          <w:rFonts w:hint="cs"/>
          <w:rtl/>
        </w:rPr>
        <w:t xml:space="preserve"> אולם, בחינת ההיסטוריה החקיקתית של החוק וכן עיון במכלול סעיפיו מלמדים כי ההסדר הקבוע בו אכן נועד להיטיב עם ההתיישבות הישראלית בלבד, וזאת מן הטעמים הבאים: </w:t>
      </w:r>
    </w:p>
    <w:p w14:paraId="64E4C758" w14:textId="77777777" w:rsidR="000E5D20" w:rsidRPr="00643EF4" w:rsidRDefault="000E5D20" w:rsidP="000E5D20">
      <w:pPr>
        <w:pStyle w:val="Ruller4"/>
        <w:numPr>
          <w:ilvl w:val="0"/>
          <w:numId w:val="0"/>
        </w:numPr>
        <w:rPr>
          <w:rFonts w:ascii="Century" w:hAnsi="Century" w:cs="Miriam"/>
          <w:b/>
          <w:spacing w:val="0"/>
          <w:sz w:val="22"/>
          <w:szCs w:val="24"/>
          <w:rtl/>
        </w:rPr>
      </w:pPr>
    </w:p>
    <w:p w14:paraId="37C06272" w14:textId="77777777" w:rsidR="000E5D20" w:rsidRPr="00643EF4" w:rsidRDefault="000E5D20" w:rsidP="000E5D20">
      <w:pPr>
        <w:pStyle w:val="Ruller4"/>
        <w:numPr>
          <w:ilvl w:val="0"/>
          <w:numId w:val="0"/>
        </w:numPr>
      </w:pPr>
      <w:r w:rsidRPr="00643EF4">
        <w:rPr>
          <w:rFonts w:ascii="Century" w:hAnsi="Century" w:cs="Miriam"/>
          <w:b/>
          <w:spacing w:val="0"/>
          <w:sz w:val="22"/>
          <w:szCs w:val="24"/>
          <w:rtl/>
        </w:rPr>
        <w:tab/>
      </w:r>
      <w:r w:rsidRPr="00643EF4">
        <w:rPr>
          <w:rFonts w:hint="cs"/>
          <w:rtl/>
        </w:rPr>
        <w:t>סעיף 3 לחוק מתנה את תחולת מנגנון ההסדרה הקבוע בו בכך שהבנייה הבלתי חוקית נעשתה ב"תום לב" או ב"הסכמת המדינה". סעיף 2 לחוק מגדיר בהקשר זה את המונח "מדינה" כ"</w:t>
      </w:r>
      <w:r w:rsidRPr="00643EF4">
        <w:rPr>
          <w:rStyle w:val="default"/>
          <w:rFonts w:hint="cs"/>
          <w:rtl/>
        </w:rPr>
        <w:t xml:space="preserve">ממשלת ישראל או משרד ממשרדי הממשלה, רשויות האזור, רשות מקומית או מועצה אזורית בישראל או באזור ומוסד מיישב". הגדרה זו מוציאה למעשה מתחולת החוק את הבנייה הבלתי חוקית ביישובים הפלסטינים שבאזור ותוחמת את ההסדרה הקבועה בו להתיישבות הישראלית באזור בלבד. זאת משום שהרוב המוחלט של ההתיישבות שהתבצעה לאורך השנים בהסכמת הגופים המוגדרים בחוק כ"מדינה" היא התיישבות ישראלית. העובדה שהמונח "מדינה" מתייחס, בין היתר, לכל "מוסד מיישב", </w:t>
      </w:r>
      <w:r w:rsidRPr="00643EF4">
        <w:rPr>
          <w:rStyle w:val="default"/>
          <w:rFonts w:ascii="Century" w:hAnsi="Century" w:hint="cs"/>
          <w:sz w:val="22"/>
          <w:rtl/>
        </w:rPr>
        <w:t>כמשמעותו בחוק המועמדים להתיישבות חקלאית, מחזקת את המסקנה האמורה שכן "מוסד מיישב" הוגדר באותו החוק כ"</w:t>
      </w:r>
      <w:r w:rsidRPr="00643EF4">
        <w:rPr>
          <w:rFonts w:hint="cs"/>
          <w:rtl/>
        </w:rPr>
        <w:t xml:space="preserve">ממשלה, ההסתדרות הציונית העולמית </w:t>
      </w:r>
      <w:r w:rsidRPr="00643EF4">
        <w:rPr>
          <w:rtl/>
        </w:rPr>
        <w:t>–</w:t>
      </w:r>
      <w:r w:rsidRPr="00643EF4">
        <w:rPr>
          <w:rFonts w:hint="cs"/>
          <w:rtl/>
        </w:rPr>
        <w:t xml:space="preserve"> הסוכנות היהודית לא"י, וכל גוף אחר העוסק ביישוב בני אדם על הקרקע, ושר החקלאות, בהודעה ברשומות, הכיר בו כמוסד מיישב לענין חוק זה". קרי </w:t>
      </w:r>
      <w:r w:rsidRPr="00643EF4">
        <w:rPr>
          <w:rtl/>
        </w:rPr>
        <w:t>–</w:t>
      </w:r>
      <w:r w:rsidRPr="00643EF4">
        <w:rPr>
          <w:rFonts w:hint="cs"/>
          <w:rtl/>
        </w:rPr>
        <w:t xml:space="preserve"> מדובר בגופים בעלי זיקה הדוקה להתיישבות הישראלית (ראו בהקשר זה גם פסקה 244 לתגובת מועצת מטה </w:t>
      </w:r>
      <w:r w:rsidRPr="00643EF4">
        <w:rPr>
          <w:rFonts w:hint="cs"/>
          <w:rtl/>
        </w:rPr>
        <w:lastRenderedPageBreak/>
        <w:t xml:space="preserve">בנימין; על מעורבותה המשמעותית של הסתדרות הציונית בקידום ההתיישבות הישראלית באזור ראו </w:t>
      </w:r>
      <w:r w:rsidRPr="00643EF4">
        <w:rPr>
          <w:rFonts w:ascii="Century" w:hAnsi="Century" w:hint="cs"/>
          <w:rtl/>
        </w:rPr>
        <w:t>ב</w:t>
      </w:r>
      <w:r w:rsidRPr="00643EF4">
        <w:rPr>
          <w:rFonts w:ascii="Century" w:hAnsi="Century" w:cs="Miriam" w:hint="cs"/>
          <w:b/>
          <w:spacing w:val="0"/>
          <w:szCs w:val="24"/>
          <w:rtl/>
        </w:rPr>
        <w:t>דו"ח ששון</w:t>
      </w:r>
      <w:r w:rsidRPr="00643EF4">
        <w:rPr>
          <w:rFonts w:ascii="Century" w:hAnsi="Century" w:hint="cs"/>
          <w:rtl/>
        </w:rPr>
        <w:t>, בעמ' 28-27 ובעמ' 137-118; השוו ל</w:t>
      </w:r>
      <w:r w:rsidRPr="00643EF4">
        <w:rPr>
          <w:rFonts w:ascii="Century" w:hAnsi="Century" w:cs="Miriam" w:hint="cs"/>
          <w:b/>
          <w:spacing w:val="0"/>
          <w:sz w:val="22"/>
          <w:szCs w:val="24"/>
          <w:rtl/>
        </w:rPr>
        <w:t>דו"ח לוי</w:t>
      </w:r>
      <w:r w:rsidRPr="00643EF4">
        <w:rPr>
          <w:rFonts w:ascii="Century" w:hAnsi="Century" w:hint="cs"/>
          <w:rtl/>
        </w:rPr>
        <w:t xml:space="preserve">, בעמ' 40-32; </w:t>
      </w:r>
      <w:r w:rsidRPr="00643EF4">
        <w:rPr>
          <w:rFonts w:ascii="Century" w:hAnsi="Century" w:cs="Miriam" w:hint="cs"/>
          <w:b/>
          <w:spacing w:val="0"/>
          <w:sz w:val="22"/>
          <w:szCs w:val="24"/>
          <w:rtl/>
        </w:rPr>
        <w:t>וינצקי וקרמר</w:t>
      </w:r>
      <w:r w:rsidRPr="00643EF4">
        <w:rPr>
          <w:rFonts w:ascii="Century" w:hAnsi="Century" w:hint="cs"/>
          <w:sz w:val="22"/>
          <w:rtl/>
        </w:rPr>
        <w:t>, בעמ' 191-190</w:t>
      </w:r>
      <w:r w:rsidRPr="00643EF4">
        <w:rPr>
          <w:rFonts w:ascii="Century" w:hAnsi="Century" w:hint="cs"/>
          <w:rtl/>
        </w:rPr>
        <w:t>).</w:t>
      </w:r>
      <w:r w:rsidRPr="00643EF4">
        <w:rPr>
          <w:rFonts w:hint="cs"/>
          <w:rtl/>
        </w:rPr>
        <w:t xml:space="preserve"> </w:t>
      </w:r>
    </w:p>
    <w:p w14:paraId="6A8D8355" w14:textId="77777777" w:rsidR="000E5D20" w:rsidRPr="00643EF4" w:rsidRDefault="000E5D20" w:rsidP="000E5D20">
      <w:pPr>
        <w:pStyle w:val="Ruller4"/>
        <w:numPr>
          <w:ilvl w:val="0"/>
          <w:numId w:val="0"/>
        </w:numPr>
        <w:rPr>
          <w:rStyle w:val="default"/>
          <w:rFonts w:ascii="Century" w:hAnsi="Century" w:cs="Miriam"/>
          <w:b/>
          <w:spacing w:val="0"/>
          <w:sz w:val="22"/>
          <w:szCs w:val="24"/>
          <w:rtl/>
        </w:rPr>
      </w:pPr>
    </w:p>
    <w:p w14:paraId="51F43E80" w14:textId="77777777" w:rsidR="000E5D20" w:rsidRPr="00643EF4" w:rsidRDefault="000E5D20" w:rsidP="000E5D20">
      <w:pPr>
        <w:pStyle w:val="Ruller4"/>
        <w:tabs>
          <w:tab w:val="num" w:pos="10307"/>
        </w:tabs>
        <w:rPr>
          <w:rFonts w:ascii="Times New Roman" w:hAnsi="Times New Roman"/>
          <w:rtl/>
        </w:rPr>
      </w:pPr>
      <w:r w:rsidRPr="00643EF4">
        <w:rPr>
          <w:rStyle w:val="default"/>
          <w:rFonts w:hint="cs"/>
          <w:rtl/>
        </w:rPr>
        <w:t xml:space="preserve">תפקידו של ה"מוסד המיישב", על פי חוק ההסדרה, אינו מסתכם אך בהיותו אחד הגופים אשר "הסכים" לבנייתה של ההתיישבות הישראלית במקרקעין הטעונים הסדרה. סעיף 5 לחוק מקנה לו תפקיד נוסף כגוף אשר באמצעותו יוקצו הזכויות במקרקעין שניטלו או נרשמו על ידי הממונה, וזאת לצורכי </w:t>
      </w:r>
      <w:r w:rsidRPr="00643EF4">
        <w:rPr>
          <w:rStyle w:val="default"/>
          <w:rFonts w:hint="cs"/>
          <w:b/>
          <w:rtl/>
        </w:rPr>
        <w:t>ההתיישבות שנבנתה עליהם.</w:t>
      </w:r>
      <w:r w:rsidRPr="00643EF4">
        <w:rPr>
          <w:rFonts w:ascii="Times New Roman" w:hAnsi="Times New Roman" w:hint="cs"/>
          <w:rtl/>
        </w:rPr>
        <w:t xml:space="preserve"> בהקשר זה טוען היועץ המשפטי לממשלה בצדק כי </w:t>
      </w:r>
      <w:r w:rsidRPr="00643EF4">
        <w:rPr>
          <w:rFonts w:hint="cs"/>
          <w:rtl/>
        </w:rPr>
        <w:t xml:space="preserve">רשימת הגופים העונים להגדרת "מוסד מיישב", מעלה "בהסתברות גבוהה למדי (וזו בלשון המעטה)", כי מטרתם היא קידום </w:t>
      </w:r>
      <w:r w:rsidRPr="00643EF4">
        <w:rPr>
          <w:rFonts w:ascii="Century" w:hAnsi="Century" w:cs="Miriam" w:hint="cs"/>
          <w:b/>
          <w:spacing w:val="0"/>
          <w:sz w:val="22"/>
          <w:szCs w:val="24"/>
          <w:rtl/>
        </w:rPr>
        <w:t>ההתיישבות הישראלית באזור בלבד</w:t>
      </w:r>
      <w:r w:rsidRPr="00643EF4">
        <w:rPr>
          <w:rFonts w:hint="cs"/>
          <w:rtl/>
        </w:rPr>
        <w:t>. עמדתו זו של היועץ המשפטי אף נתמכת בנתוני העבר שפורטו במכתב של המינהל האזרחי במענה לבקשת חופש מידע מיום 13.6.2018. ממכתב זה עולה כי מאז שנת 1967 הוקצו כ-1625 דונמים בלבד של אדמות מדינה לאוכלוסייה הפלסטינית.</w:t>
      </w:r>
      <w:r w:rsidRPr="00643EF4">
        <w:rPr>
          <w:rFonts w:ascii="Century" w:hAnsi="Century" w:hint="cs"/>
          <w:sz w:val="22"/>
          <w:rtl/>
        </w:rPr>
        <w:t xml:space="preserve"> ולשם השוואה, משנות ה-70 של המאה הקודמת ועד אמצע שנות ה-2000 הקצה הממונה לחטיבה להתיישבות כ-450,000 דונמים של אדמות מדינה בשטח </w:t>
      </w:r>
      <w:r w:rsidRPr="00643EF4">
        <w:rPr>
          <w:rFonts w:ascii="Century" w:hAnsi="Century" w:hint="cs"/>
          <w:sz w:val="22"/>
        </w:rPr>
        <w:t>C</w:t>
      </w:r>
      <w:r w:rsidRPr="00643EF4">
        <w:rPr>
          <w:rFonts w:ascii="Century" w:hAnsi="Century" w:hint="cs"/>
          <w:sz w:val="22"/>
          <w:rtl/>
        </w:rPr>
        <w:t xml:space="preserve"> לצורך יישובם על ידי ישראלים. כ-3,500 דונמים נוספים הוקצו למשרד הביטחון לשימוש על ידי צה"ל, ושטחים נוספים הוקצו לטובת חקלאים ישראלים, לאזורי תעשייה בניהול ישראלי ולתחנות דלק ישראליות</w:t>
      </w:r>
      <w:r w:rsidRPr="00643EF4">
        <w:rPr>
          <w:rFonts w:ascii="Century" w:hAnsi="Century" w:hint="cs"/>
          <w:sz w:val="22"/>
          <w:szCs w:val="22"/>
          <w:rtl/>
        </w:rPr>
        <w:t xml:space="preserve"> </w:t>
      </w:r>
      <w:r w:rsidRPr="00643EF4">
        <w:rPr>
          <w:rFonts w:ascii="Century" w:hAnsi="Century" w:hint="cs"/>
          <w:sz w:val="22"/>
          <w:rtl/>
        </w:rPr>
        <w:t xml:space="preserve">(מבקר המדינה </w:t>
      </w:r>
      <w:r w:rsidRPr="00643EF4">
        <w:rPr>
          <w:rFonts w:ascii="Century" w:hAnsi="Century" w:cs="Miriam" w:hint="cs"/>
          <w:b/>
          <w:spacing w:val="0"/>
          <w:sz w:val="22"/>
          <w:szCs w:val="24"/>
          <w:rtl/>
        </w:rPr>
        <w:t>דו"ח שנתי 63ב</w:t>
      </w:r>
      <w:r w:rsidRPr="00643EF4">
        <w:rPr>
          <w:rFonts w:ascii="Century" w:hAnsi="Century" w:hint="cs"/>
          <w:sz w:val="22"/>
          <w:rtl/>
        </w:rPr>
        <w:t xml:space="preserve"> 174-165 (2013) </w:t>
      </w:r>
      <w:r w:rsidRPr="00643EF4">
        <w:rPr>
          <w:rFonts w:ascii="Century" w:hAnsi="Century"/>
          <w:sz w:val="22"/>
          <w:rtl/>
        </w:rPr>
        <w:t>(</w:t>
      </w:r>
      <w:r w:rsidRPr="00643EF4">
        <w:rPr>
          <w:rFonts w:ascii="Century" w:hAnsi="Century" w:hint="eastAsia"/>
          <w:sz w:val="22"/>
          <w:rtl/>
        </w:rPr>
        <w:t>להלן</w:t>
      </w:r>
      <w:r w:rsidRPr="00643EF4">
        <w:rPr>
          <w:rFonts w:ascii="Century" w:hAnsi="Century"/>
          <w:sz w:val="22"/>
          <w:rtl/>
        </w:rPr>
        <w:t>:</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דו</w:t>
      </w:r>
      <w:r w:rsidRPr="00643EF4">
        <w:rPr>
          <w:rFonts w:ascii="Century" w:hAnsi="Century" w:cs="Miriam"/>
          <w:b/>
          <w:spacing w:val="0"/>
          <w:sz w:val="22"/>
          <w:szCs w:val="24"/>
          <w:rtl/>
        </w:rPr>
        <w:t>"</w:t>
      </w:r>
      <w:r w:rsidRPr="00643EF4">
        <w:rPr>
          <w:rFonts w:ascii="Century" w:hAnsi="Century" w:cs="Miriam" w:hint="eastAsia"/>
          <w:b/>
          <w:spacing w:val="0"/>
          <w:sz w:val="22"/>
          <w:szCs w:val="24"/>
          <w:rtl/>
        </w:rPr>
        <w:t>ח</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שנתי</w:t>
      </w:r>
      <w:r w:rsidRPr="00643EF4">
        <w:rPr>
          <w:rFonts w:ascii="Century" w:hAnsi="Century" w:cs="Miriam"/>
          <w:b/>
          <w:spacing w:val="0"/>
          <w:sz w:val="22"/>
          <w:szCs w:val="24"/>
          <w:rtl/>
        </w:rPr>
        <w:t xml:space="preserve"> 63</w:t>
      </w:r>
      <w:r w:rsidRPr="00643EF4">
        <w:rPr>
          <w:rFonts w:ascii="Century" w:hAnsi="Century" w:cs="Miriam" w:hint="eastAsia"/>
          <w:b/>
          <w:spacing w:val="0"/>
          <w:sz w:val="22"/>
          <w:szCs w:val="24"/>
          <w:rtl/>
        </w:rPr>
        <w:t>ב</w:t>
      </w:r>
      <w:r w:rsidRPr="00643EF4">
        <w:rPr>
          <w:rFonts w:ascii="Century" w:hAnsi="Century"/>
          <w:sz w:val="22"/>
          <w:rtl/>
        </w:rPr>
        <w:t>)</w:t>
      </w:r>
      <w:r w:rsidRPr="00643EF4">
        <w:rPr>
          <w:rFonts w:ascii="Century" w:hAnsi="Century" w:hint="cs"/>
          <w:sz w:val="22"/>
          <w:rtl/>
        </w:rPr>
        <w:t xml:space="preserve">; </w:t>
      </w:r>
      <w:r w:rsidRPr="00643EF4">
        <w:rPr>
          <w:rFonts w:ascii="Century" w:hAnsi="Century" w:cs="Miriam" w:hint="cs"/>
          <w:b/>
          <w:spacing w:val="0"/>
          <w:sz w:val="22"/>
          <w:szCs w:val="24"/>
          <w:rtl/>
        </w:rPr>
        <w:t>דו"ח שנתי 56א</w:t>
      </w:r>
      <w:r w:rsidRPr="00643EF4">
        <w:rPr>
          <w:rFonts w:ascii="Century" w:hAnsi="Century" w:hint="cs"/>
          <w:sz w:val="22"/>
          <w:rtl/>
        </w:rPr>
        <w:t xml:space="preserve">, בעמ' 218; עוד </w:t>
      </w:r>
      <w:r w:rsidRPr="00643EF4">
        <w:rPr>
          <w:rFonts w:hint="cs"/>
          <w:rtl/>
        </w:rPr>
        <w:t xml:space="preserve">ראו בהקשר זה את הנתונים שהוצגו בפסקה 86 לחוות הדעת מטעם המרצים המבקשים להצטרף; וכן רוני פלי "משפט הפרדוקסים: בעקבות דנג"ץ 9367/17 זיאדה ואח' נ' מפקד כוחות צה"ל בגדה המערבית" </w:t>
      </w:r>
      <w:r w:rsidRPr="00643EF4">
        <w:rPr>
          <w:rFonts w:ascii="Century" w:hAnsi="Century" w:cs="Miriam" w:hint="cs"/>
          <w:b/>
          <w:spacing w:val="0"/>
          <w:sz w:val="22"/>
          <w:szCs w:val="24"/>
          <w:rtl/>
        </w:rPr>
        <w:t xml:space="preserve">מבזקי הארות פסיקה </w:t>
      </w:r>
      <w:r w:rsidRPr="00643EF4">
        <w:rPr>
          <w:rFonts w:ascii="Century" w:hAnsi="Century" w:hint="cs"/>
          <w:sz w:val="22"/>
          <w:rtl/>
        </w:rPr>
        <w:t>84 40, 56 (2018)</w:t>
      </w:r>
      <w:r w:rsidRPr="00643EF4">
        <w:rPr>
          <w:rFonts w:hint="cs"/>
          <w:rtl/>
        </w:rPr>
        <w:t xml:space="preserve">). </w:t>
      </w:r>
    </w:p>
    <w:p w14:paraId="220EA08C" w14:textId="77777777" w:rsidR="000E5D20" w:rsidRPr="00643EF4" w:rsidRDefault="000E5D20" w:rsidP="000E5D20">
      <w:pPr>
        <w:pStyle w:val="Ruller41"/>
        <w:rPr>
          <w:rtl/>
        </w:rPr>
      </w:pPr>
    </w:p>
    <w:p w14:paraId="2631F1DA" w14:textId="77777777" w:rsidR="000E5D20" w:rsidRPr="00643EF4" w:rsidRDefault="000E5D20" w:rsidP="000E5D20">
      <w:pPr>
        <w:pStyle w:val="Ruller4"/>
        <w:tabs>
          <w:tab w:val="num" w:pos="10307"/>
        </w:tabs>
        <w:rPr>
          <w:rtl/>
        </w:rPr>
      </w:pPr>
      <w:r w:rsidRPr="00643EF4">
        <w:rPr>
          <w:rFonts w:hint="cs"/>
          <w:rtl/>
        </w:rPr>
        <w:t xml:space="preserve">הוראה נוספת בחוק ההסדרה המוליכה אל המסקנה כי בפנינו חוק המפלה את התושבים הפלסטינים שבאזור היא הוראת סעיף 7 לחוק. הוראה זו קובעת הסדר בדבר התליית הליכי אכיפה וצווים מינהליים לגבי בנייה בהתיישבות אשר מתקיימים בה התנאים שבסעיף 3 רישה (למעט </w:t>
      </w:r>
      <w:r w:rsidRPr="00643EF4">
        <w:rPr>
          <w:rStyle w:val="default"/>
          <w:rFonts w:hint="cs"/>
          <w:rtl/>
        </w:rPr>
        <w:t>הליכים וצווים מינהליים שניתנו צווים שיפוטיים או פסקי דין בדבר מימושם</w:t>
      </w:r>
      <w:r w:rsidRPr="00643EF4">
        <w:rPr>
          <w:rFonts w:hint="cs"/>
          <w:rtl/>
        </w:rPr>
        <w:t xml:space="preserve">), וזאת עד להשלמת הליכי התכנון. החוק אינו קוצב מועד מוגדר להשלמת הליכי התכנון, למעט הקביעה בסעיף 6 כי על המדינה להשלימם "מהר ככל האפשר". כפי שראינו, הרוב המוחלט של המקרים אשר עונים על התנאים שבסעיף 3 רישה עניינם בבנייה בהתיישבות ישראלית. משכך, התליית הליכי האכיפה והצווים המינהליים כאמור בסעיף 7, תחול ממילא רק על בנייה זו. בנוסף לכך, נקבע בסעיף 11 לחוק כי יותלו גם הליכי אכיפה וצווים מינהליים שהוצאו ביחס לבנייה ב-16 יישובים המנויים בתוספת לחוק, וזאת למשך 12 חודשים מיום פרסומו. עוד נקבע בסעיף 11 כי במהלך תקופה זו יבחן הממונה אם מתקיימים ביישובים אלה התנאים הקבועים בסעיף </w:t>
      </w:r>
      <w:r w:rsidRPr="00643EF4">
        <w:rPr>
          <w:rFonts w:hint="cs"/>
          <w:rtl/>
        </w:rPr>
        <w:lastRenderedPageBreak/>
        <w:t xml:space="preserve">3 לחוק. עיון ברשימת הישובים המנויים בתוספת מעלה כי כולם, ללא יוצא מן הכלל, הם ישובים ישראלים והדברים מדברים בעד עצמם. </w:t>
      </w:r>
    </w:p>
    <w:p w14:paraId="65180D9D" w14:textId="77777777" w:rsidR="000E5D20" w:rsidRPr="00643EF4" w:rsidRDefault="000E5D20" w:rsidP="000E5D20">
      <w:pPr>
        <w:pStyle w:val="Ruller41"/>
        <w:rPr>
          <w:rtl/>
        </w:rPr>
      </w:pPr>
    </w:p>
    <w:p w14:paraId="66CF1C92" w14:textId="77777777" w:rsidR="000E5D20" w:rsidRPr="00643EF4" w:rsidRDefault="000E5D20" w:rsidP="000E5D20">
      <w:pPr>
        <w:pStyle w:val="Ruller4"/>
        <w:tabs>
          <w:tab w:val="num" w:pos="10307"/>
        </w:tabs>
        <w:rPr>
          <w:rtl/>
        </w:rPr>
      </w:pPr>
      <w:r w:rsidRPr="00643EF4">
        <w:rPr>
          <w:rFonts w:hint="cs"/>
          <w:rtl/>
        </w:rPr>
        <w:t xml:space="preserve">בחינת ההיסטוריה החקיקתית של החוק מעידה אף היא שהחוק נועד לשם "מתן פתרון למורכבות עובדתית ומשפטית שמאפיינת את ההתיישבות </w:t>
      </w:r>
      <w:r w:rsidRPr="00643EF4">
        <w:rPr>
          <w:rFonts w:ascii="Century" w:hAnsi="Century" w:cs="Miriam" w:hint="cs"/>
          <w:b/>
          <w:spacing w:val="0"/>
          <w:szCs w:val="24"/>
          <w:rtl/>
        </w:rPr>
        <w:t>הישראלית</w:t>
      </w:r>
      <w:r w:rsidRPr="00643EF4">
        <w:rPr>
          <w:rFonts w:ascii="Century" w:hAnsi="Century" w:hint="cs"/>
          <w:rtl/>
        </w:rPr>
        <w:t>"</w:t>
      </w:r>
      <w:r w:rsidRPr="00643EF4">
        <w:rPr>
          <w:rFonts w:hint="cs"/>
          <w:rtl/>
        </w:rPr>
        <w:t xml:space="preserve"> </w:t>
      </w:r>
      <w:r w:rsidRPr="00643EF4">
        <w:rPr>
          <w:rFonts w:ascii="Century" w:hAnsi="Century" w:hint="cs"/>
          <w:rtl/>
        </w:rPr>
        <w:t>(</w:t>
      </w:r>
      <w:r w:rsidRPr="00643EF4">
        <w:rPr>
          <w:rFonts w:ascii="Century" w:hAnsi="Century" w:hint="eastAsia"/>
          <w:rtl/>
        </w:rPr>
        <w:t>פסקה</w:t>
      </w:r>
      <w:r w:rsidRPr="00643EF4">
        <w:rPr>
          <w:rFonts w:ascii="Century" w:hAnsi="Century"/>
          <w:rtl/>
        </w:rPr>
        <w:t xml:space="preserve"> 177 </w:t>
      </w:r>
      <w:r w:rsidRPr="00643EF4">
        <w:rPr>
          <w:rFonts w:ascii="Century" w:hAnsi="Century" w:hint="eastAsia"/>
          <w:rtl/>
        </w:rPr>
        <w:t>לתגובת</w:t>
      </w:r>
      <w:r w:rsidRPr="00643EF4">
        <w:rPr>
          <w:rFonts w:ascii="Century" w:hAnsi="Century"/>
          <w:rtl/>
        </w:rPr>
        <w:t xml:space="preserve"> </w:t>
      </w:r>
      <w:r w:rsidRPr="00643EF4">
        <w:rPr>
          <w:rFonts w:ascii="Century" w:hAnsi="Century" w:hint="eastAsia"/>
          <w:rtl/>
        </w:rPr>
        <w:t>הממשלה</w:t>
      </w:r>
      <w:r w:rsidRPr="00643EF4">
        <w:rPr>
          <w:rFonts w:ascii="Century" w:hAnsi="Century"/>
          <w:rtl/>
        </w:rPr>
        <w:t xml:space="preserve">. </w:t>
      </w:r>
      <w:r w:rsidRPr="00643EF4">
        <w:rPr>
          <w:rFonts w:ascii="Century" w:hAnsi="Century" w:hint="eastAsia"/>
          <w:rtl/>
        </w:rPr>
        <w:t>עוד</w:t>
      </w:r>
      <w:r w:rsidRPr="00643EF4">
        <w:rPr>
          <w:rFonts w:ascii="Century" w:hAnsi="Century"/>
          <w:rtl/>
        </w:rPr>
        <w:t xml:space="preserve"> </w:t>
      </w:r>
      <w:r w:rsidRPr="00643EF4">
        <w:rPr>
          <w:rFonts w:ascii="Century" w:hAnsi="Century" w:hint="eastAsia"/>
          <w:rtl/>
        </w:rPr>
        <w:t>ראו</w:t>
      </w:r>
      <w:r w:rsidRPr="00643EF4">
        <w:rPr>
          <w:rFonts w:ascii="Century" w:hAnsi="Century"/>
          <w:rtl/>
        </w:rPr>
        <w:t xml:space="preserve"> </w:t>
      </w:r>
      <w:r w:rsidRPr="00643EF4">
        <w:rPr>
          <w:rFonts w:ascii="Century" w:hAnsi="Century" w:hint="eastAsia"/>
          <w:rtl/>
        </w:rPr>
        <w:t>פסקה</w:t>
      </w:r>
      <w:r w:rsidRPr="00643EF4">
        <w:rPr>
          <w:rFonts w:ascii="Century" w:hAnsi="Century"/>
          <w:rtl/>
        </w:rPr>
        <w:t xml:space="preserve"> 178</w:t>
      </w:r>
      <w:r w:rsidRPr="00643EF4">
        <w:rPr>
          <w:rFonts w:ascii="Century" w:hAnsi="Century" w:hint="cs"/>
          <w:rtl/>
        </w:rPr>
        <w:t xml:space="preserve">). בהצעת החוק צוין הדבר במפורש בסעיף המטרה בו נאמר כי החוק נועד </w:t>
      </w:r>
      <w:r w:rsidRPr="00643EF4">
        <w:rPr>
          <w:rFonts w:hint="cs"/>
          <w:rtl/>
        </w:rPr>
        <w:t xml:space="preserve">"להסדיר את ההתיישבות </w:t>
      </w:r>
      <w:r w:rsidRPr="00643EF4">
        <w:rPr>
          <w:rFonts w:ascii="Century" w:hAnsi="Century" w:cs="Miriam" w:hint="cs"/>
          <w:b/>
          <w:spacing w:val="0"/>
          <w:szCs w:val="24"/>
          <w:rtl/>
        </w:rPr>
        <w:t>הישראלית</w:t>
      </w:r>
      <w:r w:rsidRPr="00643EF4">
        <w:rPr>
          <w:rFonts w:hint="cs"/>
          <w:rtl/>
        </w:rPr>
        <w:t xml:space="preserve"> ביהודה והשומרון ולאפשר את המשך ביסוסה ופיתוחה" (ההדגשה הוספה). דברי ההסבר בהצעת החוק התייחסו אף הם מפורשות לכך בציינם כי מטרת החוק היא "להסדיר את מעמדם של יישובים </w:t>
      </w:r>
      <w:r w:rsidRPr="00643EF4">
        <w:rPr>
          <w:rFonts w:ascii="Century" w:hAnsi="Century" w:cs="Miriam" w:hint="cs"/>
          <w:b/>
          <w:spacing w:val="0"/>
          <w:szCs w:val="24"/>
          <w:rtl/>
        </w:rPr>
        <w:t>ישראלים</w:t>
      </w:r>
      <w:r w:rsidRPr="00643EF4">
        <w:rPr>
          <w:rFonts w:ascii="Century" w:hAnsi="Century" w:hint="cs"/>
          <w:rtl/>
        </w:rPr>
        <w:t xml:space="preserve"> ביהודה והשומרון [...] כדי לאפשר את המשך ביסוס ופיתוח ההתיישבות </w:t>
      </w:r>
      <w:r w:rsidRPr="00643EF4">
        <w:rPr>
          <w:rFonts w:ascii="Century" w:hAnsi="Century" w:cs="Miriam" w:hint="cs"/>
          <w:b/>
          <w:spacing w:val="0"/>
          <w:szCs w:val="24"/>
          <w:rtl/>
        </w:rPr>
        <w:t>הישראלית</w:t>
      </w:r>
      <w:r w:rsidRPr="00643EF4">
        <w:rPr>
          <w:rFonts w:ascii="Century" w:hAnsi="Century" w:hint="cs"/>
          <w:rtl/>
        </w:rPr>
        <w:t xml:space="preserve"> באזור" (ההדגשות הוספו).</w:t>
      </w:r>
      <w:r w:rsidRPr="00643EF4">
        <w:rPr>
          <w:rFonts w:hint="cs"/>
          <w:rtl/>
        </w:rPr>
        <w:t xml:space="preserve"> השמטת המילה "ישראלית" בנוסח הסופי של החוק אין בה כדי לשנות מן המסקנה כי הוא נועד ליתן מענה למגזר ההתיישבות הישראלי באזור בלבד, תוך מתן עדיפות למגזר זה על פני המגזר הפלסטיני. הממשלה, הכנסת ומועצת מטה בנימין טענו בהקשר זה כי קיימת בנייה בישובים פלסטינים שאף עמה צפוי החוק להיטיב. ואולם, לא הוצג בהקשר זה נתון כלשהו לביסוס הדברים, ומשכך נותרה טענה זו טענה בעלמא.</w:t>
      </w:r>
    </w:p>
    <w:p w14:paraId="3287F364" w14:textId="77777777" w:rsidR="000E5D20" w:rsidRPr="00643EF4" w:rsidRDefault="000E5D20" w:rsidP="000E5D20">
      <w:pPr>
        <w:pStyle w:val="Ruller4"/>
        <w:numPr>
          <w:ilvl w:val="0"/>
          <w:numId w:val="0"/>
        </w:numPr>
        <w:rPr>
          <w:rFonts w:ascii="Arial TUR" w:hAnsi="Arial TUR"/>
          <w:rtl/>
        </w:rPr>
      </w:pPr>
    </w:p>
    <w:p w14:paraId="249121D1" w14:textId="4DCDECF3" w:rsidR="000E5D20" w:rsidRPr="00643EF4" w:rsidRDefault="000E5D20" w:rsidP="00EB56C7">
      <w:pPr>
        <w:pStyle w:val="Ruller4"/>
        <w:tabs>
          <w:tab w:val="num" w:pos="10307"/>
        </w:tabs>
        <w:rPr>
          <w:rFonts w:ascii="Arial TUR" w:hAnsi="Arial TUR"/>
          <w:rtl/>
        </w:rPr>
      </w:pPr>
      <w:r w:rsidRPr="00643EF4">
        <w:rPr>
          <w:rFonts w:hint="cs"/>
          <w:rtl/>
        </w:rPr>
        <w:t xml:space="preserve">העולה מן האמור הוא כי פגיעתם של </w:t>
      </w:r>
      <w:r w:rsidRPr="00643EF4">
        <w:rPr>
          <w:rFonts w:hint="eastAsia"/>
          <w:rtl/>
        </w:rPr>
        <w:t>ההסדרים</w:t>
      </w:r>
      <w:r w:rsidRPr="00643EF4">
        <w:rPr>
          <w:rtl/>
        </w:rPr>
        <w:t xml:space="preserve"> </w:t>
      </w:r>
      <w:r w:rsidRPr="00643EF4">
        <w:rPr>
          <w:rFonts w:hint="eastAsia"/>
          <w:rtl/>
        </w:rPr>
        <w:t>הקבועים</w:t>
      </w:r>
      <w:r w:rsidRPr="00643EF4">
        <w:rPr>
          <w:rtl/>
        </w:rPr>
        <w:t xml:space="preserve"> </w:t>
      </w:r>
      <w:r w:rsidRPr="00643EF4">
        <w:rPr>
          <w:rFonts w:hint="eastAsia"/>
          <w:rtl/>
        </w:rPr>
        <w:t>בחוק</w:t>
      </w:r>
      <w:r w:rsidRPr="00643EF4">
        <w:rPr>
          <w:rtl/>
        </w:rPr>
        <w:t xml:space="preserve">, </w:t>
      </w:r>
      <w:r w:rsidRPr="00643EF4">
        <w:rPr>
          <w:rFonts w:hint="eastAsia"/>
          <w:rtl/>
        </w:rPr>
        <w:t>לא</w:t>
      </w:r>
      <w:r w:rsidRPr="00643EF4">
        <w:rPr>
          <w:rtl/>
        </w:rPr>
        <w:t xml:space="preserve"> </w:t>
      </w:r>
      <w:r w:rsidRPr="00643EF4">
        <w:rPr>
          <w:rFonts w:hint="eastAsia"/>
          <w:rtl/>
        </w:rPr>
        <w:t>כל</w:t>
      </w:r>
      <w:r w:rsidRPr="00643EF4">
        <w:rPr>
          <w:rtl/>
        </w:rPr>
        <w:t xml:space="preserve"> </w:t>
      </w:r>
      <w:r w:rsidRPr="00643EF4">
        <w:rPr>
          <w:rFonts w:hint="eastAsia"/>
          <w:rtl/>
        </w:rPr>
        <w:t>שכן</w:t>
      </w:r>
      <w:r w:rsidRPr="00643EF4">
        <w:rPr>
          <w:rtl/>
        </w:rPr>
        <w:t xml:space="preserve"> </w:t>
      </w:r>
      <w:r w:rsidRPr="00643EF4">
        <w:rPr>
          <w:rFonts w:hint="eastAsia"/>
          <w:rtl/>
        </w:rPr>
        <w:t>משקלם</w:t>
      </w:r>
      <w:r w:rsidRPr="00643EF4">
        <w:rPr>
          <w:rtl/>
        </w:rPr>
        <w:t xml:space="preserve"> </w:t>
      </w:r>
      <w:r w:rsidRPr="00643EF4">
        <w:rPr>
          <w:rFonts w:hint="eastAsia"/>
          <w:rtl/>
        </w:rPr>
        <w:t>המצטבר</w:t>
      </w:r>
      <w:r w:rsidRPr="00643EF4">
        <w:rPr>
          <w:rtl/>
        </w:rPr>
        <w:t xml:space="preserve">, </w:t>
      </w:r>
      <w:r w:rsidRPr="00643EF4">
        <w:rPr>
          <w:rFonts w:hint="eastAsia"/>
          <w:rtl/>
        </w:rPr>
        <w:t>מתמקדת</w:t>
      </w:r>
      <w:r w:rsidRPr="00643EF4">
        <w:rPr>
          <w:rtl/>
        </w:rPr>
        <w:t xml:space="preserve"> </w:t>
      </w:r>
      <w:r w:rsidRPr="00643EF4">
        <w:rPr>
          <w:rFonts w:hint="eastAsia"/>
          <w:rtl/>
        </w:rPr>
        <w:t>רובה</w:t>
      </w:r>
      <w:r w:rsidRPr="00643EF4">
        <w:rPr>
          <w:rtl/>
        </w:rPr>
        <w:t xml:space="preserve"> </w:t>
      </w:r>
      <w:r w:rsidRPr="00643EF4">
        <w:rPr>
          <w:rFonts w:hint="eastAsia"/>
          <w:rtl/>
        </w:rPr>
        <w:t>ככולה</w:t>
      </w:r>
      <w:r w:rsidRPr="00643EF4">
        <w:rPr>
          <w:rtl/>
        </w:rPr>
        <w:t xml:space="preserve"> </w:t>
      </w:r>
      <w:r w:rsidRPr="00643EF4">
        <w:rPr>
          <w:rFonts w:hint="eastAsia"/>
          <w:rtl/>
        </w:rPr>
        <w:t>בפלסטינים</w:t>
      </w:r>
      <w:r w:rsidRPr="00643EF4">
        <w:rPr>
          <w:rtl/>
        </w:rPr>
        <w:t xml:space="preserve"> </w:t>
      </w:r>
      <w:r w:rsidRPr="00643EF4">
        <w:rPr>
          <w:rFonts w:hint="eastAsia"/>
          <w:rtl/>
        </w:rPr>
        <w:t>תושבי</w:t>
      </w:r>
      <w:r w:rsidRPr="00643EF4">
        <w:rPr>
          <w:rtl/>
        </w:rPr>
        <w:t xml:space="preserve"> </w:t>
      </w:r>
      <w:r w:rsidRPr="00643EF4">
        <w:rPr>
          <w:rFonts w:hint="eastAsia"/>
          <w:rtl/>
        </w:rPr>
        <w:t>האזור</w:t>
      </w:r>
      <w:r w:rsidRPr="00643EF4">
        <w:rPr>
          <w:rtl/>
        </w:rPr>
        <w:t xml:space="preserve"> (</w:t>
      </w:r>
      <w:r w:rsidRPr="00643EF4">
        <w:rPr>
          <w:rFonts w:hint="eastAsia"/>
          <w:rtl/>
        </w:rPr>
        <w:t>השוו</w:t>
      </w:r>
      <w:r w:rsidRPr="00643EF4">
        <w:rPr>
          <w:rtl/>
        </w:rPr>
        <w:t xml:space="preserve"> </w:t>
      </w:r>
      <w:r w:rsidR="00EB56C7" w:rsidRPr="00643EF4">
        <w:rPr>
          <w:rFonts w:hint="eastAsia"/>
          <w:rtl/>
        </w:rPr>
        <w:t>השוו</w:t>
      </w:r>
      <w:r w:rsidR="00EB56C7" w:rsidRPr="00643EF4">
        <w:rPr>
          <w:rtl/>
        </w:rPr>
        <w:t xml:space="preserve"> </w:t>
      </w:r>
      <w:r w:rsidR="00EB56C7" w:rsidRPr="00643EF4">
        <w:rPr>
          <w:rFonts w:hint="eastAsia"/>
          <w:rtl/>
        </w:rPr>
        <w:t>בג</w:t>
      </w:r>
      <w:r w:rsidR="00EB56C7" w:rsidRPr="00643EF4">
        <w:rPr>
          <w:rtl/>
        </w:rPr>
        <w:t>"</w:t>
      </w:r>
      <w:r w:rsidR="00EB56C7" w:rsidRPr="00643EF4">
        <w:rPr>
          <w:rFonts w:hint="eastAsia"/>
          <w:rtl/>
        </w:rPr>
        <w:t>ץ</w:t>
      </w:r>
      <w:r w:rsidR="00EB56C7" w:rsidRPr="00643EF4">
        <w:rPr>
          <w:rtl/>
        </w:rPr>
        <w:t xml:space="preserve"> 6698/95 </w:t>
      </w:r>
      <w:r w:rsidR="00EB56C7" w:rsidRPr="00643EF4">
        <w:rPr>
          <w:rFonts w:cs="Miriam" w:hint="eastAsia"/>
          <w:b/>
          <w:szCs w:val="24"/>
          <w:rtl/>
        </w:rPr>
        <w:t>קעדאן</w:t>
      </w:r>
      <w:r w:rsidR="00EB56C7" w:rsidRPr="00643EF4">
        <w:rPr>
          <w:rFonts w:cs="Miriam"/>
          <w:b/>
          <w:szCs w:val="24"/>
          <w:rtl/>
        </w:rPr>
        <w:t xml:space="preserve"> </w:t>
      </w:r>
      <w:r w:rsidR="00EB56C7" w:rsidRPr="00643EF4">
        <w:rPr>
          <w:rFonts w:cs="Miriam" w:hint="eastAsia"/>
          <w:b/>
          <w:szCs w:val="24"/>
          <w:rtl/>
        </w:rPr>
        <w:t>נ</w:t>
      </w:r>
      <w:r w:rsidR="00EB56C7" w:rsidRPr="00643EF4">
        <w:rPr>
          <w:rFonts w:cs="Miriam"/>
          <w:b/>
          <w:szCs w:val="24"/>
          <w:rtl/>
        </w:rPr>
        <w:t xml:space="preserve">' </w:t>
      </w:r>
      <w:r w:rsidR="00EB56C7" w:rsidRPr="00643EF4">
        <w:rPr>
          <w:rFonts w:cs="Miriam" w:hint="eastAsia"/>
          <w:b/>
          <w:szCs w:val="24"/>
          <w:rtl/>
        </w:rPr>
        <w:t>מינהל</w:t>
      </w:r>
      <w:r w:rsidR="00EB56C7" w:rsidRPr="00643EF4">
        <w:rPr>
          <w:rFonts w:cs="Miriam"/>
          <w:b/>
          <w:szCs w:val="24"/>
          <w:rtl/>
        </w:rPr>
        <w:t xml:space="preserve"> </w:t>
      </w:r>
      <w:r w:rsidR="00EB56C7" w:rsidRPr="00643EF4">
        <w:rPr>
          <w:rFonts w:cs="Miriam" w:hint="eastAsia"/>
          <w:b/>
          <w:szCs w:val="24"/>
          <w:rtl/>
        </w:rPr>
        <w:t>מקרקעי</w:t>
      </w:r>
      <w:r w:rsidR="00EB56C7" w:rsidRPr="00643EF4">
        <w:rPr>
          <w:rFonts w:cs="Miriam"/>
          <w:b/>
          <w:szCs w:val="24"/>
          <w:rtl/>
        </w:rPr>
        <w:t xml:space="preserve"> </w:t>
      </w:r>
      <w:r w:rsidR="00EB56C7" w:rsidRPr="00643EF4">
        <w:rPr>
          <w:rFonts w:cs="Miriam" w:hint="eastAsia"/>
          <w:b/>
          <w:szCs w:val="24"/>
          <w:rtl/>
        </w:rPr>
        <w:t>ישראל</w:t>
      </w:r>
      <w:r w:rsidR="00EB56C7" w:rsidRPr="00643EF4">
        <w:rPr>
          <w:rtl/>
        </w:rPr>
        <w:t xml:space="preserve">, </w:t>
      </w:r>
      <w:r w:rsidR="00EB56C7" w:rsidRPr="00643EF4">
        <w:rPr>
          <w:rFonts w:hint="eastAsia"/>
          <w:rtl/>
        </w:rPr>
        <w:t>פ</w:t>
      </w:r>
      <w:r w:rsidR="00EB56C7" w:rsidRPr="00643EF4">
        <w:rPr>
          <w:rtl/>
        </w:rPr>
        <w:t>"</w:t>
      </w:r>
      <w:r w:rsidR="00EB56C7" w:rsidRPr="00643EF4">
        <w:rPr>
          <w:rFonts w:hint="eastAsia"/>
          <w:rtl/>
        </w:rPr>
        <w:t>ד</w:t>
      </w:r>
      <w:r w:rsidR="00EB56C7" w:rsidRPr="00643EF4">
        <w:rPr>
          <w:rtl/>
        </w:rPr>
        <w:t xml:space="preserve"> </w:t>
      </w:r>
      <w:r w:rsidR="00EB56C7" w:rsidRPr="00643EF4">
        <w:rPr>
          <w:rFonts w:hint="eastAsia"/>
          <w:rtl/>
        </w:rPr>
        <w:t>נד</w:t>
      </w:r>
      <w:r w:rsidR="00EB56C7" w:rsidRPr="00643EF4">
        <w:rPr>
          <w:rtl/>
        </w:rPr>
        <w:t xml:space="preserve">(1) 258, </w:t>
      </w:r>
      <w:r w:rsidR="00EB56C7" w:rsidRPr="00643EF4">
        <w:rPr>
          <w:sz w:val="22"/>
          <w:rtl/>
        </w:rPr>
        <w:t xml:space="preserve">280-279 </w:t>
      </w:r>
      <w:r w:rsidR="00EB56C7" w:rsidRPr="00643EF4">
        <w:rPr>
          <w:rtl/>
        </w:rPr>
        <w:t>(2000) (</w:t>
      </w:r>
      <w:r w:rsidR="00EB56C7" w:rsidRPr="00643EF4">
        <w:rPr>
          <w:rFonts w:hint="eastAsia"/>
          <w:rtl/>
        </w:rPr>
        <w:t>להלן</w:t>
      </w:r>
      <w:r w:rsidR="00EB56C7" w:rsidRPr="00643EF4">
        <w:rPr>
          <w:rtl/>
        </w:rPr>
        <w:t xml:space="preserve">: </w:t>
      </w:r>
      <w:r w:rsidR="00EB56C7" w:rsidRPr="00643EF4">
        <w:rPr>
          <w:rFonts w:hint="eastAsia"/>
          <w:sz w:val="22"/>
          <w:rtl/>
        </w:rPr>
        <w:t>עניין</w:t>
      </w:r>
      <w:r w:rsidR="00EB56C7" w:rsidRPr="00643EF4">
        <w:rPr>
          <w:sz w:val="22"/>
          <w:rtl/>
        </w:rPr>
        <w:t xml:space="preserve"> </w:t>
      </w:r>
      <w:r w:rsidR="00EB56C7" w:rsidRPr="00643EF4">
        <w:rPr>
          <w:rFonts w:cs="Miriam" w:hint="eastAsia"/>
          <w:b/>
          <w:spacing w:val="0"/>
          <w:sz w:val="22"/>
          <w:szCs w:val="24"/>
          <w:rtl/>
        </w:rPr>
        <w:t>קעדאן</w:t>
      </w:r>
      <w:r w:rsidR="00EB56C7" w:rsidRPr="00643EF4">
        <w:rPr>
          <w:rtl/>
        </w:rPr>
        <w:t>)</w:t>
      </w:r>
      <w:r w:rsidRPr="00643EF4">
        <w:rPr>
          <w:rtl/>
        </w:rPr>
        <w:t xml:space="preserve">; </w:t>
      </w:r>
      <w:r w:rsidRPr="00643EF4">
        <w:rPr>
          <w:rFonts w:hint="eastAsia"/>
          <w:rtl/>
        </w:rPr>
        <w:t>עניין</w:t>
      </w:r>
      <w:r w:rsidRPr="00643EF4">
        <w:rPr>
          <w:rtl/>
        </w:rPr>
        <w:t xml:space="preserve"> </w:t>
      </w:r>
      <w:r w:rsidRPr="00643EF4">
        <w:rPr>
          <w:rFonts w:ascii="Century" w:hAnsi="Century" w:cs="Miriam" w:hint="eastAsia"/>
          <w:b/>
          <w:spacing w:val="0"/>
          <w:sz w:val="22"/>
          <w:szCs w:val="24"/>
          <w:rtl/>
        </w:rPr>
        <w:t>נסר</w:t>
      </w:r>
      <w:r w:rsidRPr="00643EF4">
        <w:rPr>
          <w:rtl/>
        </w:rPr>
        <w:t xml:space="preserve">, </w:t>
      </w:r>
      <w:r w:rsidRPr="00643EF4">
        <w:rPr>
          <w:rFonts w:hint="eastAsia"/>
          <w:rtl/>
        </w:rPr>
        <w:t>פסקה</w:t>
      </w:r>
      <w:r w:rsidRPr="00643EF4">
        <w:rPr>
          <w:rtl/>
        </w:rPr>
        <w:t xml:space="preserve"> 46 </w:t>
      </w:r>
      <w:r w:rsidRPr="00643EF4">
        <w:rPr>
          <w:rFonts w:hint="eastAsia"/>
          <w:rtl/>
        </w:rPr>
        <w:t>לחוות</w:t>
      </w:r>
      <w:r w:rsidRPr="00643EF4">
        <w:rPr>
          <w:rtl/>
        </w:rPr>
        <w:t xml:space="preserve"> </w:t>
      </w:r>
      <w:r w:rsidRPr="00643EF4">
        <w:rPr>
          <w:rFonts w:hint="eastAsia"/>
          <w:rtl/>
        </w:rPr>
        <w:t>דעתה</w:t>
      </w:r>
      <w:r w:rsidRPr="00643EF4">
        <w:rPr>
          <w:rtl/>
        </w:rPr>
        <w:t xml:space="preserve"> </w:t>
      </w:r>
      <w:r w:rsidRPr="00643EF4">
        <w:rPr>
          <w:rFonts w:hint="eastAsia"/>
          <w:rtl/>
        </w:rPr>
        <w:t>של</w:t>
      </w:r>
      <w:r w:rsidRPr="00643EF4">
        <w:rPr>
          <w:rtl/>
        </w:rPr>
        <w:t xml:space="preserve"> </w:t>
      </w:r>
      <w:r w:rsidRPr="00643EF4">
        <w:rPr>
          <w:rFonts w:hint="eastAsia"/>
          <w:rtl/>
        </w:rPr>
        <w:t>הנשיאה</w:t>
      </w:r>
      <w:r w:rsidRPr="00643EF4">
        <w:rPr>
          <w:rtl/>
        </w:rPr>
        <w:t xml:space="preserve"> (</w:t>
      </w:r>
      <w:r w:rsidRPr="00643EF4">
        <w:rPr>
          <w:rFonts w:hint="eastAsia"/>
          <w:rtl/>
        </w:rPr>
        <w:t>בדימ</w:t>
      </w:r>
      <w:r w:rsidRPr="00643EF4">
        <w:rPr>
          <w:rtl/>
        </w:rPr>
        <w:t xml:space="preserve">') </w:t>
      </w:r>
      <w:r w:rsidRPr="00643EF4">
        <w:rPr>
          <w:rFonts w:cs="Miriam" w:hint="eastAsia"/>
          <w:b/>
          <w:spacing w:val="0"/>
          <w:szCs w:val="24"/>
          <w:rtl/>
        </w:rPr>
        <w:t>ד</w:t>
      </w:r>
      <w:r w:rsidRPr="00643EF4">
        <w:rPr>
          <w:rFonts w:cs="Miriam"/>
          <w:b/>
          <w:spacing w:val="0"/>
          <w:szCs w:val="24"/>
          <w:rtl/>
        </w:rPr>
        <w:t xml:space="preserve">' </w:t>
      </w:r>
      <w:r w:rsidRPr="00643EF4">
        <w:rPr>
          <w:rFonts w:cs="Miriam" w:hint="eastAsia"/>
          <w:b/>
          <w:spacing w:val="0"/>
          <w:szCs w:val="24"/>
          <w:rtl/>
        </w:rPr>
        <w:t>ביניש</w:t>
      </w:r>
      <w:r w:rsidRPr="00643EF4">
        <w:rPr>
          <w:rtl/>
        </w:rPr>
        <w:t xml:space="preserve">). </w:t>
      </w:r>
      <w:r w:rsidRPr="00643EF4">
        <w:rPr>
          <w:rFonts w:hint="eastAsia"/>
          <w:sz w:val="22"/>
          <w:rtl/>
        </w:rPr>
        <w:t>זאת</w:t>
      </w:r>
      <w:r w:rsidRPr="00643EF4">
        <w:rPr>
          <w:sz w:val="22"/>
          <w:rtl/>
        </w:rPr>
        <w:t xml:space="preserve">, </w:t>
      </w:r>
      <w:r w:rsidRPr="00643EF4">
        <w:rPr>
          <w:rFonts w:hint="eastAsia"/>
          <w:sz w:val="22"/>
          <w:rtl/>
        </w:rPr>
        <w:t>שכן</w:t>
      </w:r>
      <w:r w:rsidRPr="00643EF4">
        <w:rPr>
          <w:rtl/>
        </w:rPr>
        <w:t xml:space="preserve"> </w:t>
      </w:r>
      <w:r w:rsidRPr="00643EF4">
        <w:rPr>
          <w:rFonts w:hint="eastAsia"/>
          <w:rtl/>
        </w:rPr>
        <w:t>החוק</w:t>
      </w:r>
      <w:r w:rsidRPr="00643EF4">
        <w:rPr>
          <w:rtl/>
        </w:rPr>
        <w:t xml:space="preserve"> </w:t>
      </w:r>
      <w:r w:rsidRPr="00643EF4">
        <w:rPr>
          <w:rFonts w:hint="eastAsia"/>
          <w:rtl/>
        </w:rPr>
        <w:t>נותן</w:t>
      </w:r>
      <w:r w:rsidRPr="00643EF4">
        <w:rPr>
          <w:rtl/>
        </w:rPr>
        <w:t xml:space="preserve"> </w:t>
      </w:r>
      <w:r w:rsidRPr="00643EF4">
        <w:rPr>
          <w:rFonts w:hint="eastAsia"/>
          <w:rtl/>
        </w:rPr>
        <w:t>עדיפות</w:t>
      </w:r>
      <w:r w:rsidRPr="00643EF4">
        <w:rPr>
          <w:rtl/>
        </w:rPr>
        <w:t xml:space="preserve"> </w:t>
      </w:r>
      <w:r w:rsidRPr="00643EF4">
        <w:rPr>
          <w:rFonts w:hint="eastAsia"/>
          <w:rtl/>
        </w:rPr>
        <w:t>מובהקת</w:t>
      </w:r>
      <w:r w:rsidRPr="00643EF4">
        <w:rPr>
          <w:rtl/>
        </w:rPr>
        <w:t xml:space="preserve"> </w:t>
      </w:r>
      <w:r w:rsidRPr="00643EF4">
        <w:rPr>
          <w:rFonts w:hint="eastAsia"/>
          <w:rtl/>
        </w:rPr>
        <w:t>לתושבי</w:t>
      </w:r>
      <w:r w:rsidRPr="00643EF4">
        <w:rPr>
          <w:rtl/>
        </w:rPr>
        <w:t xml:space="preserve"> </w:t>
      </w:r>
      <w:r w:rsidRPr="00643EF4">
        <w:rPr>
          <w:rFonts w:hint="eastAsia"/>
          <w:rtl/>
        </w:rPr>
        <w:t>האזור</w:t>
      </w:r>
      <w:r w:rsidRPr="00643EF4">
        <w:rPr>
          <w:rtl/>
        </w:rPr>
        <w:t xml:space="preserve"> </w:t>
      </w:r>
      <w:r w:rsidRPr="00643EF4">
        <w:rPr>
          <w:rFonts w:hint="eastAsia"/>
          <w:rtl/>
        </w:rPr>
        <w:t>הישראלים</w:t>
      </w:r>
      <w:r w:rsidRPr="00643EF4">
        <w:rPr>
          <w:rtl/>
        </w:rPr>
        <w:t xml:space="preserve"> </w:t>
      </w:r>
      <w:r w:rsidRPr="00643EF4">
        <w:rPr>
          <w:rFonts w:hint="eastAsia"/>
          <w:rtl/>
        </w:rPr>
        <w:t>על</w:t>
      </w:r>
      <w:r w:rsidRPr="00643EF4">
        <w:rPr>
          <w:rtl/>
        </w:rPr>
        <w:t xml:space="preserve"> </w:t>
      </w:r>
      <w:r w:rsidRPr="00643EF4">
        <w:rPr>
          <w:rFonts w:hint="eastAsia"/>
          <w:rtl/>
        </w:rPr>
        <w:t>פני</w:t>
      </w:r>
      <w:r w:rsidRPr="00643EF4">
        <w:rPr>
          <w:rtl/>
        </w:rPr>
        <w:t xml:space="preserve"> </w:t>
      </w:r>
      <w:r w:rsidRPr="00643EF4">
        <w:rPr>
          <w:rFonts w:hint="eastAsia"/>
          <w:rtl/>
        </w:rPr>
        <w:t>התושבים</w:t>
      </w:r>
      <w:r w:rsidRPr="00643EF4">
        <w:rPr>
          <w:rtl/>
        </w:rPr>
        <w:t xml:space="preserve"> </w:t>
      </w:r>
      <w:r w:rsidRPr="00643EF4">
        <w:rPr>
          <w:rFonts w:hint="eastAsia"/>
          <w:rtl/>
        </w:rPr>
        <w:t>הפלסטינים</w:t>
      </w:r>
      <w:r w:rsidRPr="00643EF4">
        <w:rPr>
          <w:rtl/>
        </w:rPr>
        <w:t xml:space="preserve"> </w:t>
      </w:r>
      <w:r w:rsidRPr="00643EF4">
        <w:rPr>
          <w:rFonts w:hint="eastAsia"/>
          <w:rtl/>
        </w:rPr>
        <w:t>שם</w:t>
      </w:r>
      <w:r w:rsidRPr="00643EF4">
        <w:rPr>
          <w:rtl/>
        </w:rPr>
        <w:t xml:space="preserve">, </w:t>
      </w:r>
      <w:r w:rsidRPr="00643EF4">
        <w:rPr>
          <w:rFonts w:hint="eastAsia"/>
          <w:rtl/>
        </w:rPr>
        <w:t>הן</w:t>
      </w:r>
      <w:r w:rsidRPr="00643EF4">
        <w:rPr>
          <w:rtl/>
        </w:rPr>
        <w:t xml:space="preserve"> </w:t>
      </w:r>
      <w:r w:rsidRPr="00643EF4">
        <w:rPr>
          <w:rFonts w:hint="eastAsia"/>
          <w:rtl/>
        </w:rPr>
        <w:t>בכל</w:t>
      </w:r>
      <w:r w:rsidRPr="00643EF4">
        <w:rPr>
          <w:rtl/>
        </w:rPr>
        <w:t xml:space="preserve"> </w:t>
      </w:r>
      <w:r w:rsidRPr="00643EF4">
        <w:rPr>
          <w:rFonts w:hint="eastAsia"/>
          <w:rtl/>
        </w:rPr>
        <w:t>הנוגע</w:t>
      </w:r>
      <w:r w:rsidRPr="00643EF4">
        <w:rPr>
          <w:rtl/>
        </w:rPr>
        <w:t xml:space="preserve"> </w:t>
      </w:r>
      <w:r w:rsidRPr="00643EF4">
        <w:rPr>
          <w:rFonts w:hint="eastAsia"/>
          <w:rtl/>
        </w:rPr>
        <w:t>לשמיטת</w:t>
      </w:r>
      <w:r w:rsidRPr="00643EF4">
        <w:rPr>
          <w:rtl/>
        </w:rPr>
        <w:t xml:space="preserve"> </w:t>
      </w:r>
      <w:r w:rsidRPr="00643EF4">
        <w:rPr>
          <w:rFonts w:hint="eastAsia"/>
          <w:rtl/>
        </w:rPr>
        <w:t>הליכי</w:t>
      </w:r>
      <w:r w:rsidRPr="00643EF4">
        <w:rPr>
          <w:rtl/>
        </w:rPr>
        <w:t xml:space="preserve"> </w:t>
      </w:r>
      <w:r w:rsidRPr="00643EF4">
        <w:rPr>
          <w:rFonts w:hint="eastAsia"/>
          <w:rtl/>
        </w:rPr>
        <w:t>האכיפה</w:t>
      </w:r>
      <w:r w:rsidRPr="00643EF4">
        <w:rPr>
          <w:rtl/>
        </w:rPr>
        <w:t xml:space="preserve"> </w:t>
      </w:r>
      <w:r w:rsidRPr="00643EF4">
        <w:rPr>
          <w:rFonts w:hint="eastAsia"/>
          <w:rtl/>
        </w:rPr>
        <w:t>והן</w:t>
      </w:r>
      <w:r w:rsidRPr="00643EF4">
        <w:rPr>
          <w:rtl/>
        </w:rPr>
        <w:t xml:space="preserve"> </w:t>
      </w:r>
      <w:r w:rsidRPr="00643EF4">
        <w:rPr>
          <w:rFonts w:hint="eastAsia"/>
          <w:rtl/>
        </w:rPr>
        <w:t>בהקצאת</w:t>
      </w:r>
      <w:r w:rsidRPr="00643EF4">
        <w:rPr>
          <w:rtl/>
        </w:rPr>
        <w:t xml:space="preserve"> </w:t>
      </w:r>
      <w:r w:rsidRPr="00643EF4">
        <w:rPr>
          <w:rFonts w:hint="eastAsia"/>
          <w:rtl/>
        </w:rPr>
        <w:t>המקרקעין</w:t>
      </w:r>
      <w:r w:rsidRPr="00643EF4">
        <w:rPr>
          <w:rtl/>
        </w:rPr>
        <w:t xml:space="preserve"> </w:t>
      </w:r>
      <w:r w:rsidRPr="00643EF4">
        <w:rPr>
          <w:rFonts w:hint="eastAsia"/>
          <w:rtl/>
        </w:rPr>
        <w:t>ובהכשרה</w:t>
      </w:r>
      <w:r w:rsidRPr="00643EF4">
        <w:rPr>
          <w:rtl/>
        </w:rPr>
        <w:t xml:space="preserve"> </w:t>
      </w:r>
      <w:r w:rsidRPr="00643EF4">
        <w:rPr>
          <w:rFonts w:hint="eastAsia"/>
          <w:rtl/>
        </w:rPr>
        <w:t>בדיעבד</w:t>
      </w:r>
      <w:r w:rsidRPr="00643EF4">
        <w:rPr>
          <w:rtl/>
        </w:rPr>
        <w:t xml:space="preserve"> </w:t>
      </w:r>
      <w:r w:rsidRPr="00643EF4">
        <w:rPr>
          <w:rFonts w:hint="eastAsia"/>
          <w:rtl/>
        </w:rPr>
        <w:t>של</w:t>
      </w:r>
      <w:r w:rsidRPr="00643EF4">
        <w:rPr>
          <w:rtl/>
        </w:rPr>
        <w:t xml:space="preserve"> </w:t>
      </w:r>
      <w:r w:rsidRPr="00643EF4">
        <w:rPr>
          <w:rFonts w:hint="eastAsia"/>
          <w:rtl/>
        </w:rPr>
        <w:t>הבנייה</w:t>
      </w:r>
      <w:r w:rsidRPr="00643EF4">
        <w:rPr>
          <w:rtl/>
        </w:rPr>
        <w:t xml:space="preserve"> </w:t>
      </w:r>
      <w:r w:rsidRPr="00643EF4">
        <w:rPr>
          <w:rFonts w:hint="eastAsia"/>
          <w:rtl/>
        </w:rPr>
        <w:t>הבלתי</w:t>
      </w:r>
      <w:r w:rsidRPr="00643EF4">
        <w:rPr>
          <w:rtl/>
        </w:rPr>
        <w:t xml:space="preserve"> </w:t>
      </w:r>
      <w:r w:rsidRPr="00643EF4">
        <w:rPr>
          <w:rFonts w:hint="eastAsia"/>
          <w:rtl/>
        </w:rPr>
        <w:t>חוקית</w:t>
      </w:r>
      <w:r w:rsidRPr="00643EF4">
        <w:rPr>
          <w:rtl/>
        </w:rPr>
        <w:t xml:space="preserve"> </w:t>
      </w:r>
      <w:r w:rsidRPr="00643EF4">
        <w:rPr>
          <w:rFonts w:hint="eastAsia"/>
          <w:rtl/>
        </w:rPr>
        <w:t>בהם</w:t>
      </w:r>
      <w:r w:rsidRPr="00643EF4">
        <w:rPr>
          <w:rtl/>
        </w:rPr>
        <w:t>.</w:t>
      </w:r>
      <w:r w:rsidRPr="00643EF4">
        <w:rPr>
          <w:sz w:val="22"/>
          <w:rtl/>
        </w:rPr>
        <w:t xml:space="preserve"> </w:t>
      </w:r>
    </w:p>
    <w:p w14:paraId="6ECB0446" w14:textId="77777777" w:rsidR="000E5D20" w:rsidRPr="00643EF4" w:rsidRDefault="000E5D20" w:rsidP="000E5D20">
      <w:pPr>
        <w:pStyle w:val="Ruller4"/>
        <w:numPr>
          <w:ilvl w:val="0"/>
          <w:numId w:val="0"/>
        </w:numPr>
        <w:rPr>
          <w:rtl/>
        </w:rPr>
      </w:pPr>
      <w:r w:rsidRPr="00643EF4">
        <w:rPr>
          <w:rFonts w:hint="cs"/>
          <w:rtl/>
        </w:rPr>
        <w:t xml:space="preserve"> </w:t>
      </w:r>
    </w:p>
    <w:p w14:paraId="7D6FD7DA" w14:textId="77777777" w:rsidR="000E5D20" w:rsidRPr="00643EF4" w:rsidRDefault="000E5D20" w:rsidP="000E5D20">
      <w:pPr>
        <w:pStyle w:val="Ruller4"/>
        <w:tabs>
          <w:tab w:val="num" w:pos="10307"/>
        </w:tabs>
      </w:pPr>
      <w:r w:rsidRPr="00643EF4">
        <w:rPr>
          <w:rFonts w:hint="cs"/>
          <w:rtl/>
        </w:rPr>
        <w:t xml:space="preserve">הממשלה, הכנסת ומועצת מטה בנימין הוסיפו וטענו </w:t>
      </w:r>
      <w:r w:rsidRPr="00643EF4">
        <w:rPr>
          <w:rFonts w:hint="eastAsia"/>
          <w:rtl/>
        </w:rPr>
        <w:t>כי</w:t>
      </w:r>
      <w:r w:rsidRPr="00643EF4">
        <w:rPr>
          <w:rtl/>
        </w:rPr>
        <w:t xml:space="preserve"> </w:t>
      </w:r>
      <w:r w:rsidRPr="00643EF4">
        <w:rPr>
          <w:rFonts w:hint="cs"/>
          <w:rtl/>
        </w:rPr>
        <w:t>ככל ש</w:t>
      </w:r>
      <w:r w:rsidRPr="00643EF4">
        <w:rPr>
          <w:rFonts w:hint="eastAsia"/>
          <w:rtl/>
        </w:rPr>
        <w:t>החוק</w:t>
      </w:r>
      <w:r w:rsidRPr="00643EF4">
        <w:rPr>
          <w:rtl/>
        </w:rPr>
        <w:t xml:space="preserve"> </w:t>
      </w:r>
      <w:r w:rsidRPr="00643EF4">
        <w:rPr>
          <w:rFonts w:hint="eastAsia"/>
          <w:rtl/>
        </w:rPr>
        <w:t>מיטיב</w:t>
      </w:r>
      <w:r w:rsidRPr="00643EF4">
        <w:rPr>
          <w:rtl/>
        </w:rPr>
        <w:t xml:space="preserve"> </w:t>
      </w:r>
      <w:r w:rsidRPr="00643EF4">
        <w:rPr>
          <w:rFonts w:hint="eastAsia"/>
          <w:rtl/>
        </w:rPr>
        <w:t>עם</w:t>
      </w:r>
      <w:r w:rsidRPr="00643EF4">
        <w:rPr>
          <w:rtl/>
        </w:rPr>
        <w:t xml:space="preserve"> </w:t>
      </w:r>
      <w:r w:rsidRPr="00643EF4">
        <w:rPr>
          <w:rFonts w:hint="eastAsia"/>
          <w:rtl/>
        </w:rPr>
        <w:t>ההתיישבות</w:t>
      </w:r>
      <w:r w:rsidRPr="00643EF4">
        <w:rPr>
          <w:rtl/>
        </w:rPr>
        <w:t xml:space="preserve"> </w:t>
      </w:r>
      <w:r w:rsidRPr="00643EF4">
        <w:rPr>
          <w:rFonts w:hint="eastAsia"/>
          <w:rtl/>
        </w:rPr>
        <w:t>הישראלית</w:t>
      </w:r>
      <w:r w:rsidRPr="00643EF4">
        <w:rPr>
          <w:rtl/>
        </w:rPr>
        <w:t xml:space="preserve"> </w:t>
      </w:r>
      <w:r w:rsidRPr="00643EF4">
        <w:rPr>
          <w:rFonts w:hint="eastAsia"/>
          <w:rtl/>
        </w:rPr>
        <w:t>באזור</w:t>
      </w:r>
      <w:r w:rsidRPr="00643EF4">
        <w:rPr>
          <w:rtl/>
        </w:rPr>
        <w:t xml:space="preserve">, </w:t>
      </w:r>
      <w:r w:rsidRPr="00643EF4">
        <w:rPr>
          <w:rFonts w:hint="eastAsia"/>
          <w:rtl/>
        </w:rPr>
        <w:t>אין</w:t>
      </w:r>
      <w:r w:rsidRPr="00643EF4">
        <w:rPr>
          <w:rtl/>
        </w:rPr>
        <w:t xml:space="preserve"> </w:t>
      </w:r>
      <w:r w:rsidRPr="00643EF4">
        <w:rPr>
          <w:rFonts w:hint="eastAsia"/>
          <w:rtl/>
        </w:rPr>
        <w:t>בכך</w:t>
      </w:r>
      <w:r w:rsidRPr="00643EF4">
        <w:rPr>
          <w:rtl/>
        </w:rPr>
        <w:t xml:space="preserve"> </w:t>
      </w:r>
      <w:r w:rsidRPr="00643EF4">
        <w:rPr>
          <w:rFonts w:hint="eastAsia"/>
          <w:rtl/>
        </w:rPr>
        <w:t>הפליה</w:t>
      </w:r>
      <w:r w:rsidRPr="00643EF4">
        <w:rPr>
          <w:rtl/>
        </w:rPr>
        <w:t xml:space="preserve"> </w:t>
      </w:r>
      <w:r w:rsidRPr="00643EF4">
        <w:rPr>
          <w:rFonts w:hint="eastAsia"/>
          <w:rtl/>
        </w:rPr>
        <w:t>פסולה</w:t>
      </w:r>
      <w:r w:rsidRPr="00643EF4">
        <w:rPr>
          <w:rtl/>
        </w:rPr>
        <w:t xml:space="preserve"> </w:t>
      </w:r>
      <w:r w:rsidRPr="00643EF4">
        <w:rPr>
          <w:rFonts w:hint="eastAsia"/>
          <w:rtl/>
        </w:rPr>
        <w:t>כי</w:t>
      </w:r>
      <w:r w:rsidRPr="00643EF4">
        <w:rPr>
          <w:rtl/>
        </w:rPr>
        <w:t xml:space="preserve"> </w:t>
      </w:r>
      <w:r w:rsidRPr="00643EF4">
        <w:rPr>
          <w:rFonts w:hint="eastAsia"/>
          <w:rtl/>
        </w:rPr>
        <w:t>אם</w:t>
      </w:r>
      <w:r w:rsidRPr="00643EF4">
        <w:rPr>
          <w:rtl/>
        </w:rPr>
        <w:t xml:space="preserve"> </w:t>
      </w:r>
      <w:r w:rsidRPr="00643EF4">
        <w:rPr>
          <w:rFonts w:hint="eastAsia"/>
          <w:rtl/>
        </w:rPr>
        <w:t>הבחנה</w:t>
      </w:r>
      <w:r w:rsidRPr="00643EF4">
        <w:rPr>
          <w:rtl/>
        </w:rPr>
        <w:t xml:space="preserve"> </w:t>
      </w:r>
      <w:r w:rsidRPr="00643EF4">
        <w:rPr>
          <w:rFonts w:hint="eastAsia"/>
          <w:rtl/>
        </w:rPr>
        <w:t>מותרת</w:t>
      </w:r>
      <w:r w:rsidRPr="00643EF4">
        <w:rPr>
          <w:rtl/>
        </w:rPr>
        <w:t xml:space="preserve">. </w:t>
      </w:r>
      <w:r w:rsidRPr="00643EF4">
        <w:rPr>
          <w:rFonts w:hint="eastAsia"/>
          <w:rtl/>
        </w:rPr>
        <w:t>זאת</w:t>
      </w:r>
      <w:r w:rsidRPr="00643EF4">
        <w:rPr>
          <w:rtl/>
        </w:rPr>
        <w:t xml:space="preserve">, </w:t>
      </w:r>
      <w:r w:rsidRPr="00643EF4">
        <w:rPr>
          <w:rFonts w:hint="eastAsia"/>
          <w:rtl/>
        </w:rPr>
        <w:t>משום</w:t>
      </w:r>
      <w:r w:rsidRPr="00643EF4">
        <w:rPr>
          <w:rtl/>
        </w:rPr>
        <w:t xml:space="preserve"> </w:t>
      </w:r>
      <w:r w:rsidRPr="00643EF4">
        <w:rPr>
          <w:rFonts w:hint="eastAsia"/>
          <w:rtl/>
        </w:rPr>
        <w:t>שלשיטתן</w:t>
      </w:r>
      <w:r w:rsidRPr="00643EF4">
        <w:rPr>
          <w:rtl/>
        </w:rPr>
        <w:t xml:space="preserve"> </w:t>
      </w:r>
      <w:r w:rsidRPr="00643EF4">
        <w:rPr>
          <w:rFonts w:hint="eastAsia"/>
          <w:rtl/>
        </w:rPr>
        <w:t>קיים</w:t>
      </w:r>
      <w:r w:rsidRPr="00643EF4">
        <w:rPr>
          <w:rtl/>
        </w:rPr>
        <w:t xml:space="preserve"> </w:t>
      </w:r>
      <w:r w:rsidRPr="00643EF4">
        <w:rPr>
          <w:rFonts w:hint="eastAsia"/>
          <w:rtl/>
        </w:rPr>
        <w:t>שוני</w:t>
      </w:r>
      <w:r w:rsidRPr="00643EF4">
        <w:rPr>
          <w:rtl/>
        </w:rPr>
        <w:t xml:space="preserve"> </w:t>
      </w:r>
      <w:r w:rsidRPr="00643EF4">
        <w:rPr>
          <w:rFonts w:hint="eastAsia"/>
          <w:rtl/>
        </w:rPr>
        <w:t>רלוונטי</w:t>
      </w:r>
      <w:r w:rsidRPr="00643EF4">
        <w:rPr>
          <w:rtl/>
        </w:rPr>
        <w:t xml:space="preserve"> </w:t>
      </w:r>
      <w:r w:rsidRPr="00643EF4">
        <w:rPr>
          <w:rFonts w:hint="eastAsia"/>
          <w:rtl/>
        </w:rPr>
        <w:t>בין</w:t>
      </w:r>
      <w:r w:rsidRPr="00643EF4">
        <w:rPr>
          <w:rtl/>
        </w:rPr>
        <w:t xml:space="preserve"> </w:t>
      </w:r>
      <w:r w:rsidRPr="00643EF4">
        <w:rPr>
          <w:rFonts w:hint="eastAsia"/>
          <w:rtl/>
        </w:rPr>
        <w:t>ההתיישבות</w:t>
      </w:r>
      <w:r w:rsidRPr="00643EF4">
        <w:rPr>
          <w:rtl/>
        </w:rPr>
        <w:t xml:space="preserve"> </w:t>
      </w:r>
      <w:r w:rsidRPr="00643EF4">
        <w:rPr>
          <w:rFonts w:hint="eastAsia"/>
          <w:rtl/>
        </w:rPr>
        <w:t>הישראלית</w:t>
      </w:r>
      <w:r w:rsidRPr="00643EF4">
        <w:rPr>
          <w:rtl/>
        </w:rPr>
        <w:t xml:space="preserve"> </w:t>
      </w:r>
      <w:r w:rsidRPr="00643EF4">
        <w:rPr>
          <w:rFonts w:hint="eastAsia"/>
          <w:rtl/>
        </w:rPr>
        <w:t>באזור</w:t>
      </w:r>
      <w:r w:rsidRPr="00643EF4">
        <w:rPr>
          <w:rtl/>
        </w:rPr>
        <w:t xml:space="preserve"> </w:t>
      </w:r>
      <w:r w:rsidRPr="00643EF4">
        <w:rPr>
          <w:rFonts w:hint="eastAsia"/>
          <w:rtl/>
        </w:rPr>
        <w:t>ובין</w:t>
      </w:r>
      <w:r w:rsidRPr="00643EF4">
        <w:rPr>
          <w:rtl/>
        </w:rPr>
        <w:t xml:space="preserve"> </w:t>
      </w:r>
      <w:r w:rsidRPr="00643EF4">
        <w:rPr>
          <w:rFonts w:hint="eastAsia"/>
          <w:rtl/>
        </w:rPr>
        <w:t>ההתיישבות</w:t>
      </w:r>
      <w:r w:rsidRPr="00643EF4">
        <w:rPr>
          <w:rFonts w:hint="cs"/>
          <w:rtl/>
        </w:rPr>
        <w:t xml:space="preserve"> הפלסטינית שם. לטענת המשיבות, מרבית התושבים הפלסטינים באזור כלל אינם מתגוררים בשטחי </w:t>
      </w:r>
      <w:r w:rsidRPr="00643EF4">
        <w:rPr>
          <w:rFonts w:hint="cs"/>
        </w:rPr>
        <w:t>C</w:t>
      </w:r>
      <w:r w:rsidRPr="00643EF4">
        <w:rPr>
          <w:rFonts w:hint="cs"/>
          <w:rtl/>
        </w:rPr>
        <w:t xml:space="preserve"> שבהם מצויים המקרקעין שעליהם חל החוק, ועל כן לא נפגעות זכויותיהם. עוד הן טוענות כי החוק נותן מענה למציאות החיים באזור המפלה דווקא תושבים יהודים, שכן חוקי הרשות הפלסטינית אוסרים על פלסטינים למכור מקרקעין באזור ליהודים, ולכן התושבים היהודים הם אלה שמוגבלים ביכולתם לרכוש מקרקעין כדין בשטחי האזור. לבסוף ובהסתמך, בין היתר, על פסק דינו של בית משפט זה בעניין </w:t>
      </w:r>
      <w:r w:rsidRPr="00643EF4">
        <w:rPr>
          <w:rFonts w:ascii="Century" w:hAnsi="Century" w:cs="Miriam" w:hint="cs"/>
          <w:b/>
          <w:spacing w:val="0"/>
          <w:szCs w:val="24"/>
          <w:rtl/>
        </w:rPr>
        <w:t>ניר</w:t>
      </w:r>
      <w:r w:rsidRPr="00643EF4">
        <w:rPr>
          <w:rFonts w:hint="cs"/>
          <w:rtl/>
        </w:rPr>
        <w:t xml:space="preserve"> נטען כי החוק מבקש ליתן מענה לבעיה ייחודית המאפיינת את ההתיישבות </w:t>
      </w:r>
      <w:r w:rsidRPr="00643EF4">
        <w:rPr>
          <w:rFonts w:hint="cs"/>
          <w:rtl/>
        </w:rPr>
        <w:lastRenderedPageBreak/>
        <w:t xml:space="preserve">הישראלית באזור, שהוקמה </w:t>
      </w:r>
      <w:r w:rsidRPr="00643EF4">
        <w:rPr>
          <w:rtl/>
        </w:rPr>
        <w:t>–</w:t>
      </w:r>
      <w:r w:rsidRPr="00643EF4">
        <w:rPr>
          <w:rFonts w:hint="cs"/>
          <w:rtl/>
        </w:rPr>
        <w:t xml:space="preserve"> בניגוד להתיישבות הפלסטינית </w:t>
      </w:r>
      <w:r w:rsidRPr="00643EF4">
        <w:rPr>
          <w:rtl/>
        </w:rPr>
        <w:t>–</w:t>
      </w:r>
      <w:r w:rsidRPr="00643EF4">
        <w:rPr>
          <w:rFonts w:hint="cs"/>
          <w:rtl/>
        </w:rPr>
        <w:t xml:space="preserve"> </w:t>
      </w:r>
      <w:r w:rsidRPr="00643EF4">
        <w:rPr>
          <w:rFonts w:hint="eastAsia"/>
          <w:rtl/>
        </w:rPr>
        <w:t>בעידוד</w:t>
      </w:r>
      <w:r w:rsidRPr="00643EF4">
        <w:rPr>
          <w:rtl/>
        </w:rPr>
        <w:t xml:space="preserve"> </w:t>
      </w:r>
      <w:r w:rsidRPr="00643EF4">
        <w:rPr>
          <w:rFonts w:hint="eastAsia"/>
          <w:rtl/>
        </w:rPr>
        <w:t>המדינה</w:t>
      </w:r>
      <w:r w:rsidRPr="00643EF4">
        <w:rPr>
          <w:rtl/>
        </w:rPr>
        <w:t xml:space="preserve"> </w:t>
      </w:r>
      <w:r w:rsidRPr="00643EF4">
        <w:rPr>
          <w:rFonts w:hint="eastAsia"/>
          <w:rtl/>
        </w:rPr>
        <w:t>מבלי</w:t>
      </w:r>
      <w:r w:rsidRPr="00643EF4">
        <w:rPr>
          <w:rtl/>
        </w:rPr>
        <w:t xml:space="preserve"> </w:t>
      </w:r>
      <w:r w:rsidRPr="00643EF4">
        <w:rPr>
          <w:rFonts w:hint="eastAsia"/>
          <w:rtl/>
        </w:rPr>
        <w:t>שזו</w:t>
      </w:r>
      <w:r w:rsidRPr="00643EF4">
        <w:rPr>
          <w:rtl/>
        </w:rPr>
        <w:t xml:space="preserve"> </w:t>
      </w:r>
      <w:r w:rsidRPr="00643EF4">
        <w:rPr>
          <w:rFonts w:hint="eastAsia"/>
          <w:rtl/>
        </w:rPr>
        <w:t>דאגה</w:t>
      </w:r>
      <w:r w:rsidRPr="00643EF4">
        <w:rPr>
          <w:rtl/>
        </w:rPr>
        <w:t xml:space="preserve"> </w:t>
      </w:r>
      <w:r w:rsidRPr="00643EF4">
        <w:rPr>
          <w:rFonts w:hint="eastAsia"/>
          <w:rtl/>
        </w:rPr>
        <w:t>להסדיר</w:t>
      </w:r>
      <w:r w:rsidRPr="00643EF4">
        <w:rPr>
          <w:rtl/>
        </w:rPr>
        <w:t xml:space="preserve"> </w:t>
      </w:r>
      <w:r w:rsidRPr="00643EF4">
        <w:rPr>
          <w:rFonts w:hint="eastAsia"/>
          <w:rtl/>
        </w:rPr>
        <w:t>התיישבות</w:t>
      </w:r>
      <w:r w:rsidRPr="00643EF4">
        <w:rPr>
          <w:rtl/>
        </w:rPr>
        <w:t xml:space="preserve"> </w:t>
      </w:r>
      <w:r w:rsidRPr="00643EF4">
        <w:rPr>
          <w:rFonts w:hint="eastAsia"/>
          <w:rtl/>
        </w:rPr>
        <w:t>זו</w:t>
      </w:r>
      <w:r w:rsidRPr="00643EF4">
        <w:rPr>
          <w:rFonts w:hint="cs"/>
          <w:rtl/>
        </w:rPr>
        <w:t xml:space="preserve">. </w:t>
      </w:r>
    </w:p>
    <w:p w14:paraId="46B8D216" w14:textId="77777777" w:rsidR="000E5D20" w:rsidRPr="00643EF4" w:rsidRDefault="000E5D20" w:rsidP="000E5D20">
      <w:pPr>
        <w:pStyle w:val="Ruller41"/>
        <w:rPr>
          <w:rtl/>
        </w:rPr>
      </w:pPr>
    </w:p>
    <w:p w14:paraId="3B6074A1" w14:textId="04BFC0CC" w:rsidR="000E5D20" w:rsidRPr="00643EF4" w:rsidRDefault="000E5D20" w:rsidP="00E86C52">
      <w:pPr>
        <w:pStyle w:val="Ruller4"/>
        <w:tabs>
          <w:tab w:val="num" w:pos="10307"/>
        </w:tabs>
        <w:rPr>
          <w:rtl/>
        </w:rPr>
      </w:pPr>
      <w:r w:rsidRPr="00643EF4">
        <w:rPr>
          <w:rFonts w:hint="cs"/>
          <w:rtl/>
        </w:rPr>
        <w:t xml:space="preserve">השאלה הנשאלת בהקשר זה היא מהי קבוצת השוויון הרלוונטית להשוואה. קבוצת השוויון נקבעת על סמך בחינת תכלית הנורמה המבחינה, מהות העניין, ערכי היסוד של השיטה ועל פי הנסיבות הפרטניות בכל מקרה ומקרה (ראו </w:t>
      </w:r>
      <w:r w:rsidRPr="00643EF4">
        <w:rPr>
          <w:rFonts w:hint="cs"/>
          <w:sz w:val="22"/>
          <w:rtl/>
        </w:rPr>
        <w:t xml:space="preserve">עניין </w:t>
      </w:r>
      <w:r w:rsidRPr="00643EF4">
        <w:rPr>
          <w:rFonts w:cs="Miriam" w:hint="cs"/>
          <w:b/>
          <w:spacing w:val="0"/>
          <w:sz w:val="22"/>
          <w:szCs w:val="24"/>
          <w:rtl/>
        </w:rPr>
        <w:t>נסר</w:t>
      </w:r>
      <w:r w:rsidRPr="00643EF4">
        <w:rPr>
          <w:rFonts w:hint="cs"/>
          <w:rtl/>
        </w:rPr>
        <w:t xml:space="preserve">, פסקה 37 לחוות דעתה של הנשיאה (בדימ') </w:t>
      </w:r>
      <w:r w:rsidRPr="00643EF4">
        <w:rPr>
          <w:rFonts w:cs="Miriam" w:hint="cs"/>
          <w:b/>
          <w:spacing w:val="0"/>
          <w:sz w:val="22"/>
          <w:szCs w:val="24"/>
          <w:rtl/>
        </w:rPr>
        <w:t>ד' ביניש</w:t>
      </w:r>
      <w:r w:rsidRPr="00643EF4">
        <w:rPr>
          <w:rFonts w:hint="cs"/>
          <w:rtl/>
        </w:rPr>
        <w:t xml:space="preserve">). </w:t>
      </w:r>
      <w:r w:rsidR="00F905E6" w:rsidRPr="00643EF4">
        <w:rPr>
          <w:rFonts w:hint="cs"/>
          <w:rtl/>
        </w:rPr>
        <w:t>שלטון החוק הוא עקרון יסוד בשיטתנו המשפטית והוא משמיע לנו כי הכל שווים בפני החוק בעוד ש</w:t>
      </w:r>
      <w:r w:rsidRPr="00643EF4">
        <w:rPr>
          <w:rFonts w:hint="cs"/>
          <w:rtl/>
        </w:rPr>
        <w:t>הסדרה והכשרה בדיעבד של בנייה בלתי חוקית פוגעת בשלטון החוק ויש בה כדי לעודד עבריינות. אומנם, כפי שצוין לעיל, על הישראלים החיים באזור חלות באופן פרסונלי נורמות נוספות של המשפט הישראלי, ואולם מטרת החלת</w:t>
      </w:r>
      <w:r w:rsidR="00F905E6" w:rsidRPr="00643EF4">
        <w:rPr>
          <w:rFonts w:hint="cs"/>
          <w:rtl/>
        </w:rPr>
        <w:t>ן של</w:t>
      </w:r>
      <w:r w:rsidRPr="00643EF4">
        <w:rPr>
          <w:rFonts w:hint="cs"/>
          <w:rtl/>
        </w:rPr>
        <w:t xml:space="preserve"> נורמות אלו, ככלל, היא </w:t>
      </w:r>
      <w:r w:rsidRPr="00643EF4">
        <w:rPr>
          <w:rFonts w:ascii="FrankRuehl" w:hAnsi="FrankRuehl"/>
          <w:sz w:val="28"/>
          <w:rtl/>
        </w:rPr>
        <w:t xml:space="preserve">ליצור </w:t>
      </w:r>
      <w:r w:rsidRPr="00643EF4">
        <w:rPr>
          <w:rFonts w:ascii="FrankRuehl" w:hAnsi="FrankRuehl" w:hint="cs"/>
          <w:sz w:val="28"/>
          <w:rtl/>
        </w:rPr>
        <w:t xml:space="preserve">אחידות ביחס לדינים </w:t>
      </w:r>
      <w:r w:rsidRPr="00643EF4">
        <w:rPr>
          <w:rFonts w:ascii="FrankRuehl" w:hAnsi="FrankRuehl"/>
          <w:sz w:val="28"/>
          <w:rtl/>
        </w:rPr>
        <w:t>החל</w:t>
      </w:r>
      <w:r w:rsidRPr="00643EF4">
        <w:rPr>
          <w:rFonts w:ascii="FrankRuehl" w:hAnsi="FrankRuehl" w:hint="eastAsia"/>
          <w:sz w:val="28"/>
          <w:rtl/>
        </w:rPr>
        <w:t>ים</w:t>
      </w:r>
      <w:r w:rsidRPr="00643EF4">
        <w:rPr>
          <w:rFonts w:ascii="FrankRuehl" w:hAnsi="FrankRuehl"/>
          <w:sz w:val="28"/>
          <w:rtl/>
        </w:rPr>
        <w:t xml:space="preserve"> על ישראלים בשטחי האזור ובשטחי ישראל, ולאפשר למדינה לאכוף את שלטונה וחוקיה על אזרחיה תושבי האזור</w:t>
      </w:r>
      <w:r w:rsidRPr="00643EF4">
        <w:rPr>
          <w:rFonts w:hint="cs"/>
          <w:rtl/>
        </w:rPr>
        <w:t xml:space="preserve">. בענייננו לעומת זאת, יוצר חוק ההסדרה מצב שבו עברייני בנייה באזור זוכים ליחס שונה ומיטיב מזה שזוכים לו עברייני בנייה </w:t>
      </w:r>
      <w:r w:rsidR="00154325" w:rsidRPr="00643EF4">
        <w:rPr>
          <w:rFonts w:hint="cs"/>
          <w:rtl/>
        </w:rPr>
        <w:t xml:space="preserve">פלסטינים תושבי האזור ולמעשה גם עברייני בנייה בתוך ישראל עצמה. </w:t>
      </w:r>
      <w:r w:rsidRPr="00643EF4">
        <w:rPr>
          <w:rFonts w:hint="cs"/>
          <w:rtl/>
        </w:rPr>
        <w:t xml:space="preserve">החלתו בפועל של דין שונה על אוכלוסיות באזור ככל שהדבר נוגע לביצוען של </w:t>
      </w:r>
      <w:r w:rsidRPr="00643EF4">
        <w:rPr>
          <w:rFonts w:hint="eastAsia"/>
          <w:rtl/>
        </w:rPr>
        <w:t>עבירות</w:t>
      </w:r>
      <w:r w:rsidRPr="00643EF4">
        <w:rPr>
          <w:rtl/>
        </w:rPr>
        <w:t xml:space="preserve"> </w:t>
      </w:r>
      <w:r w:rsidRPr="00643EF4">
        <w:rPr>
          <w:rFonts w:hint="eastAsia"/>
          <w:rtl/>
        </w:rPr>
        <w:t>בנייה</w:t>
      </w:r>
      <w:r w:rsidRPr="00643EF4">
        <w:rPr>
          <w:rtl/>
        </w:rPr>
        <w:t xml:space="preserve"> </w:t>
      </w:r>
      <w:r w:rsidRPr="00643EF4">
        <w:rPr>
          <w:rFonts w:hint="eastAsia"/>
          <w:rtl/>
        </w:rPr>
        <w:t>ופלישה</w:t>
      </w:r>
      <w:r w:rsidRPr="00643EF4">
        <w:rPr>
          <w:rtl/>
        </w:rPr>
        <w:t xml:space="preserve"> </w:t>
      </w:r>
      <w:r w:rsidRPr="00643EF4">
        <w:rPr>
          <w:rFonts w:hint="eastAsia"/>
          <w:rtl/>
        </w:rPr>
        <w:t>למקרקעין</w:t>
      </w:r>
      <w:r w:rsidRPr="00643EF4">
        <w:rPr>
          <w:rtl/>
        </w:rPr>
        <w:t xml:space="preserve"> </w:t>
      </w:r>
      <w:r w:rsidRPr="00643EF4">
        <w:rPr>
          <w:rFonts w:hint="eastAsia"/>
          <w:rtl/>
        </w:rPr>
        <w:t>פרטיים</w:t>
      </w:r>
      <w:r w:rsidRPr="00643EF4">
        <w:rPr>
          <w:rFonts w:hint="cs"/>
          <w:rtl/>
        </w:rPr>
        <w:t>, וזאת בשל שיקולים של השתייכות דתית או לאומית "</w:t>
      </w:r>
      <w:r w:rsidRPr="00643EF4">
        <w:rPr>
          <w:rFonts w:hint="eastAsia"/>
          <w:sz w:val="20"/>
          <w:rtl/>
        </w:rPr>
        <w:t>נוגדת</w:t>
      </w:r>
      <w:r w:rsidRPr="00643EF4">
        <w:rPr>
          <w:sz w:val="20"/>
          <w:rtl/>
        </w:rPr>
        <w:t xml:space="preserve"> </w:t>
      </w:r>
      <w:r w:rsidRPr="00643EF4">
        <w:rPr>
          <w:rFonts w:hint="eastAsia"/>
          <w:sz w:val="20"/>
          <w:rtl/>
        </w:rPr>
        <w:t>באופן</w:t>
      </w:r>
      <w:r w:rsidRPr="00643EF4">
        <w:rPr>
          <w:sz w:val="20"/>
          <w:rtl/>
        </w:rPr>
        <w:t xml:space="preserve"> </w:t>
      </w:r>
      <w:r w:rsidRPr="00643EF4">
        <w:rPr>
          <w:rFonts w:hint="eastAsia"/>
          <w:sz w:val="20"/>
          <w:rtl/>
        </w:rPr>
        <w:t>חריף</w:t>
      </w:r>
      <w:r w:rsidRPr="00643EF4">
        <w:rPr>
          <w:sz w:val="20"/>
          <w:rtl/>
        </w:rPr>
        <w:t xml:space="preserve"> </w:t>
      </w:r>
      <w:r w:rsidRPr="00643EF4">
        <w:rPr>
          <w:rFonts w:hint="eastAsia"/>
          <w:sz w:val="20"/>
          <w:rtl/>
        </w:rPr>
        <w:t>את</w:t>
      </w:r>
      <w:r w:rsidRPr="00643EF4">
        <w:rPr>
          <w:sz w:val="20"/>
          <w:rtl/>
        </w:rPr>
        <w:t xml:space="preserve"> </w:t>
      </w:r>
      <w:r w:rsidRPr="00643EF4">
        <w:rPr>
          <w:rFonts w:hint="eastAsia"/>
          <w:sz w:val="20"/>
          <w:rtl/>
        </w:rPr>
        <w:t>העיקרון</w:t>
      </w:r>
      <w:r w:rsidRPr="00643EF4">
        <w:rPr>
          <w:sz w:val="20"/>
          <w:rtl/>
        </w:rPr>
        <w:t xml:space="preserve"> </w:t>
      </w:r>
      <w:r w:rsidRPr="00643EF4">
        <w:rPr>
          <w:rFonts w:hint="eastAsia"/>
          <w:sz w:val="20"/>
          <w:rtl/>
        </w:rPr>
        <w:t>של</w:t>
      </w:r>
      <w:r w:rsidRPr="00643EF4">
        <w:rPr>
          <w:sz w:val="20"/>
          <w:rtl/>
        </w:rPr>
        <w:t xml:space="preserve"> </w:t>
      </w:r>
      <w:r w:rsidRPr="00643EF4">
        <w:rPr>
          <w:rFonts w:hint="eastAsia"/>
          <w:sz w:val="20"/>
          <w:rtl/>
        </w:rPr>
        <w:t>שוויון</w:t>
      </w:r>
      <w:r w:rsidRPr="00643EF4">
        <w:rPr>
          <w:sz w:val="20"/>
          <w:rtl/>
        </w:rPr>
        <w:t xml:space="preserve"> </w:t>
      </w:r>
      <w:r w:rsidRPr="00643EF4">
        <w:rPr>
          <w:rFonts w:hint="eastAsia"/>
          <w:sz w:val="20"/>
          <w:rtl/>
        </w:rPr>
        <w:t>בפני</w:t>
      </w:r>
      <w:r w:rsidRPr="00643EF4">
        <w:rPr>
          <w:sz w:val="20"/>
          <w:rtl/>
        </w:rPr>
        <w:t xml:space="preserve"> </w:t>
      </w:r>
      <w:r w:rsidRPr="00643EF4">
        <w:rPr>
          <w:rFonts w:hint="eastAsia"/>
          <w:sz w:val="20"/>
          <w:rtl/>
        </w:rPr>
        <w:t>החוק</w:t>
      </w:r>
      <w:r w:rsidRPr="00643EF4">
        <w:rPr>
          <w:sz w:val="20"/>
          <w:rtl/>
        </w:rPr>
        <w:t xml:space="preserve"> [...] </w:t>
      </w:r>
      <w:r w:rsidRPr="00643EF4">
        <w:rPr>
          <w:rFonts w:hint="eastAsia"/>
          <w:sz w:val="20"/>
          <w:rtl/>
        </w:rPr>
        <w:t>היא</w:t>
      </w:r>
      <w:r w:rsidRPr="00643EF4">
        <w:rPr>
          <w:sz w:val="20"/>
          <w:rtl/>
        </w:rPr>
        <w:t xml:space="preserve"> </w:t>
      </w:r>
      <w:r w:rsidRPr="00643EF4">
        <w:rPr>
          <w:rFonts w:hint="eastAsia"/>
          <w:sz w:val="20"/>
          <w:rtl/>
        </w:rPr>
        <w:t>מקוממת</w:t>
      </w:r>
      <w:r w:rsidRPr="00643EF4">
        <w:rPr>
          <w:sz w:val="20"/>
          <w:rtl/>
        </w:rPr>
        <w:t xml:space="preserve"> </w:t>
      </w:r>
      <w:r w:rsidRPr="00643EF4">
        <w:rPr>
          <w:rFonts w:hint="eastAsia"/>
          <w:sz w:val="20"/>
          <w:rtl/>
        </w:rPr>
        <w:t>מבחינת</w:t>
      </w:r>
      <w:r w:rsidRPr="00643EF4">
        <w:rPr>
          <w:sz w:val="20"/>
          <w:rtl/>
        </w:rPr>
        <w:t xml:space="preserve"> </w:t>
      </w:r>
      <w:r w:rsidRPr="00643EF4">
        <w:rPr>
          <w:rFonts w:hint="eastAsia"/>
          <w:sz w:val="20"/>
          <w:rtl/>
        </w:rPr>
        <w:t>הצדק</w:t>
      </w:r>
      <w:r w:rsidRPr="00643EF4">
        <w:rPr>
          <w:sz w:val="20"/>
          <w:rtl/>
        </w:rPr>
        <w:t xml:space="preserve">; </w:t>
      </w:r>
      <w:r w:rsidRPr="00643EF4">
        <w:rPr>
          <w:rFonts w:hint="eastAsia"/>
          <w:sz w:val="20"/>
          <w:rtl/>
        </w:rPr>
        <w:t>היא</w:t>
      </w:r>
      <w:r w:rsidRPr="00643EF4">
        <w:rPr>
          <w:sz w:val="20"/>
          <w:rtl/>
        </w:rPr>
        <w:t xml:space="preserve"> </w:t>
      </w:r>
      <w:r w:rsidRPr="00643EF4">
        <w:rPr>
          <w:rFonts w:hint="eastAsia"/>
          <w:sz w:val="20"/>
          <w:rtl/>
        </w:rPr>
        <w:t>מסכנת</w:t>
      </w:r>
      <w:r w:rsidRPr="00643EF4">
        <w:rPr>
          <w:sz w:val="20"/>
          <w:rtl/>
        </w:rPr>
        <w:t xml:space="preserve"> </w:t>
      </w:r>
      <w:r w:rsidRPr="00643EF4">
        <w:rPr>
          <w:rFonts w:hint="eastAsia"/>
          <w:sz w:val="20"/>
          <w:rtl/>
        </w:rPr>
        <w:t>את</w:t>
      </w:r>
      <w:r w:rsidRPr="00643EF4">
        <w:rPr>
          <w:sz w:val="20"/>
          <w:rtl/>
        </w:rPr>
        <w:t xml:space="preserve"> </w:t>
      </w:r>
      <w:r w:rsidRPr="00643EF4">
        <w:rPr>
          <w:rFonts w:hint="eastAsia"/>
          <w:sz w:val="20"/>
          <w:rtl/>
        </w:rPr>
        <w:t>מערכת</w:t>
      </w:r>
      <w:r w:rsidRPr="00643EF4">
        <w:rPr>
          <w:sz w:val="20"/>
          <w:rtl/>
        </w:rPr>
        <w:t xml:space="preserve"> </w:t>
      </w:r>
      <w:r w:rsidRPr="00643EF4">
        <w:rPr>
          <w:rFonts w:hint="eastAsia"/>
          <w:sz w:val="20"/>
          <w:rtl/>
        </w:rPr>
        <w:t>המשפט</w:t>
      </w:r>
      <w:r w:rsidRPr="00643EF4">
        <w:rPr>
          <w:sz w:val="20"/>
          <w:rtl/>
        </w:rPr>
        <w:t>"</w:t>
      </w:r>
      <w:r w:rsidRPr="00643EF4">
        <w:rPr>
          <w:rFonts w:hint="cs"/>
          <w:rtl/>
        </w:rPr>
        <w:t xml:space="preserve"> (בג"ץ 6396/96 </w:t>
      </w:r>
      <w:r w:rsidRPr="00643EF4">
        <w:rPr>
          <w:rFonts w:ascii="Century" w:hAnsi="Century" w:cs="Miriam" w:hint="eastAsia"/>
          <w:b/>
          <w:spacing w:val="0"/>
          <w:sz w:val="22"/>
          <w:szCs w:val="24"/>
          <w:rtl/>
        </w:rPr>
        <w:t>זקין</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ראש</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עיריית</w:t>
      </w:r>
      <w:r w:rsidRPr="00643EF4">
        <w:rPr>
          <w:rFonts w:ascii="Century" w:hAnsi="Century" w:cs="Miriam"/>
          <w:b/>
          <w:spacing w:val="0"/>
          <w:sz w:val="22"/>
          <w:szCs w:val="24"/>
          <w:rtl/>
        </w:rPr>
        <w:t>-</w:t>
      </w:r>
      <w:r w:rsidRPr="00643EF4">
        <w:rPr>
          <w:rFonts w:ascii="Century" w:hAnsi="Century" w:cs="Miriam" w:hint="eastAsia"/>
          <w:b/>
          <w:spacing w:val="0"/>
          <w:sz w:val="22"/>
          <w:szCs w:val="24"/>
          <w:rtl/>
        </w:rPr>
        <w:t>באר</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שבע</w:t>
      </w:r>
      <w:r w:rsidRPr="00643EF4">
        <w:rPr>
          <w:rFonts w:ascii="Century" w:hAnsi="Century"/>
          <w:sz w:val="22"/>
          <w:rtl/>
        </w:rPr>
        <w:t xml:space="preserve">, </w:t>
      </w:r>
      <w:r w:rsidRPr="00643EF4">
        <w:rPr>
          <w:rFonts w:ascii="Century" w:hAnsi="Century" w:hint="eastAsia"/>
          <w:sz w:val="22"/>
          <w:rtl/>
        </w:rPr>
        <w:t>פ</w:t>
      </w:r>
      <w:r w:rsidRPr="00643EF4">
        <w:rPr>
          <w:rFonts w:ascii="Century" w:hAnsi="Century"/>
          <w:sz w:val="22"/>
          <w:rtl/>
        </w:rPr>
        <w:t>"</w:t>
      </w:r>
      <w:r w:rsidRPr="00643EF4">
        <w:rPr>
          <w:rFonts w:ascii="Century" w:hAnsi="Century" w:hint="eastAsia"/>
          <w:sz w:val="22"/>
          <w:rtl/>
        </w:rPr>
        <w:t>ד</w:t>
      </w:r>
      <w:r w:rsidRPr="00643EF4">
        <w:rPr>
          <w:rFonts w:ascii="Century" w:hAnsi="Century"/>
          <w:sz w:val="22"/>
          <w:rtl/>
        </w:rPr>
        <w:t xml:space="preserve"> </w:t>
      </w:r>
      <w:r w:rsidRPr="00643EF4">
        <w:rPr>
          <w:rFonts w:ascii="Century" w:hAnsi="Century" w:hint="eastAsia"/>
          <w:sz w:val="22"/>
          <w:rtl/>
        </w:rPr>
        <w:t>נג</w:t>
      </w:r>
      <w:r w:rsidRPr="00643EF4">
        <w:rPr>
          <w:rFonts w:ascii="Century" w:hAnsi="Century"/>
          <w:sz w:val="22"/>
          <w:rtl/>
        </w:rPr>
        <w:t xml:space="preserve">(3) 289, 305 (1999); </w:t>
      </w:r>
      <w:r w:rsidRPr="00643EF4">
        <w:rPr>
          <w:rFonts w:ascii="Century" w:hAnsi="Century" w:hint="eastAsia"/>
          <w:sz w:val="22"/>
          <w:rtl/>
        </w:rPr>
        <w:t>השוו</w:t>
      </w:r>
      <w:r w:rsidRPr="00643EF4">
        <w:rPr>
          <w:rFonts w:ascii="Century" w:hAnsi="Century"/>
          <w:sz w:val="22"/>
          <w:rtl/>
        </w:rPr>
        <w:t xml:space="preserve"> </w:t>
      </w:r>
      <w:r w:rsidRPr="00643EF4">
        <w:rPr>
          <w:rFonts w:hint="cs"/>
          <w:rtl/>
        </w:rPr>
        <w:t xml:space="preserve">בג"ץ 1027/04 </w:t>
      </w:r>
      <w:r w:rsidRPr="00643EF4">
        <w:rPr>
          <w:rFonts w:ascii="Century" w:hAnsi="Century" w:cs="Miriam" w:hint="eastAsia"/>
          <w:b/>
          <w:spacing w:val="0"/>
          <w:szCs w:val="24"/>
          <w:rtl/>
        </w:rPr>
        <w:t>פורום</w:t>
      </w:r>
      <w:r w:rsidRPr="00643EF4">
        <w:rPr>
          <w:rFonts w:ascii="Century" w:hAnsi="Century" w:cs="Miriam"/>
          <w:b/>
          <w:spacing w:val="0"/>
          <w:szCs w:val="24"/>
          <w:rtl/>
        </w:rPr>
        <w:t xml:space="preserve"> </w:t>
      </w:r>
      <w:r w:rsidRPr="00643EF4">
        <w:rPr>
          <w:rFonts w:ascii="Century" w:hAnsi="Century" w:cs="Miriam" w:hint="eastAsia"/>
          <w:b/>
          <w:spacing w:val="0"/>
          <w:szCs w:val="24"/>
          <w:rtl/>
        </w:rPr>
        <w:t>הערים</w:t>
      </w:r>
      <w:r w:rsidRPr="00643EF4">
        <w:rPr>
          <w:rFonts w:ascii="Century" w:hAnsi="Century" w:cs="Miriam"/>
          <w:b/>
          <w:spacing w:val="0"/>
          <w:szCs w:val="24"/>
          <w:rtl/>
        </w:rPr>
        <w:t xml:space="preserve"> </w:t>
      </w:r>
      <w:r w:rsidRPr="00643EF4">
        <w:rPr>
          <w:rFonts w:ascii="Century" w:hAnsi="Century" w:cs="Miriam" w:hint="eastAsia"/>
          <w:b/>
          <w:spacing w:val="0"/>
          <w:szCs w:val="24"/>
          <w:rtl/>
        </w:rPr>
        <w:t>העצמאיות</w:t>
      </w:r>
      <w:r w:rsidRPr="00643EF4">
        <w:rPr>
          <w:rFonts w:ascii="Century" w:hAnsi="Century" w:cs="Miriam"/>
          <w:b/>
          <w:spacing w:val="0"/>
          <w:szCs w:val="24"/>
          <w:rtl/>
        </w:rPr>
        <w:t xml:space="preserve"> </w:t>
      </w:r>
      <w:r w:rsidRPr="00643EF4">
        <w:rPr>
          <w:rFonts w:ascii="Century" w:hAnsi="Century" w:cs="Miriam" w:hint="eastAsia"/>
          <w:b/>
          <w:spacing w:val="0"/>
          <w:szCs w:val="24"/>
          <w:rtl/>
        </w:rPr>
        <w:t>נ</w:t>
      </w:r>
      <w:r w:rsidRPr="00643EF4">
        <w:rPr>
          <w:rFonts w:ascii="Century" w:hAnsi="Century" w:cs="Miriam"/>
          <w:b/>
          <w:spacing w:val="0"/>
          <w:szCs w:val="24"/>
          <w:rtl/>
        </w:rPr>
        <w:t xml:space="preserve">' </w:t>
      </w:r>
      <w:r w:rsidRPr="00643EF4">
        <w:rPr>
          <w:rFonts w:ascii="Century" w:hAnsi="Century" w:cs="Miriam" w:hint="eastAsia"/>
          <w:b/>
          <w:spacing w:val="0"/>
          <w:szCs w:val="24"/>
          <w:rtl/>
        </w:rPr>
        <w:t>מועצת</w:t>
      </w:r>
      <w:r w:rsidRPr="00643EF4">
        <w:rPr>
          <w:rFonts w:ascii="Century" w:hAnsi="Century" w:cs="Miriam"/>
          <w:b/>
          <w:spacing w:val="0"/>
          <w:szCs w:val="24"/>
          <w:rtl/>
        </w:rPr>
        <w:t xml:space="preserve"> </w:t>
      </w:r>
      <w:r w:rsidRPr="00643EF4">
        <w:rPr>
          <w:rFonts w:ascii="Century" w:hAnsi="Century" w:cs="Miriam" w:hint="eastAsia"/>
          <w:b/>
          <w:spacing w:val="0"/>
          <w:szCs w:val="24"/>
          <w:rtl/>
        </w:rPr>
        <w:t>מקרקעי</w:t>
      </w:r>
      <w:r w:rsidRPr="00643EF4">
        <w:rPr>
          <w:rFonts w:ascii="Century" w:hAnsi="Century" w:cs="Miriam"/>
          <w:b/>
          <w:spacing w:val="0"/>
          <w:szCs w:val="24"/>
          <w:rtl/>
        </w:rPr>
        <w:t xml:space="preserve"> </w:t>
      </w:r>
      <w:r w:rsidRPr="00643EF4">
        <w:rPr>
          <w:rFonts w:ascii="Century" w:hAnsi="Century" w:cs="Miriam" w:hint="eastAsia"/>
          <w:b/>
          <w:spacing w:val="0"/>
          <w:szCs w:val="24"/>
          <w:rtl/>
        </w:rPr>
        <w:t>ישראל</w:t>
      </w:r>
      <w:r w:rsidRPr="00643EF4">
        <w:rPr>
          <w:rFonts w:hint="cs"/>
          <w:rtl/>
        </w:rPr>
        <w:t xml:space="preserve">, פסקה 51 לחוות הדעת של השופטת </w:t>
      </w:r>
      <w:r w:rsidRPr="00643EF4">
        <w:rPr>
          <w:rFonts w:ascii="Century" w:hAnsi="Century" w:cs="Miriam" w:hint="eastAsia"/>
          <w:b/>
          <w:spacing w:val="0"/>
          <w:szCs w:val="24"/>
          <w:rtl/>
        </w:rPr>
        <w:t>ע</w:t>
      </w:r>
      <w:r w:rsidRPr="00643EF4">
        <w:rPr>
          <w:rFonts w:ascii="Century" w:hAnsi="Century" w:cs="Miriam"/>
          <w:b/>
          <w:spacing w:val="0"/>
          <w:szCs w:val="24"/>
          <w:rtl/>
        </w:rPr>
        <w:t xml:space="preserve">' </w:t>
      </w:r>
      <w:r w:rsidRPr="00643EF4">
        <w:rPr>
          <w:rFonts w:ascii="Century" w:hAnsi="Century" w:cs="Miriam" w:hint="eastAsia"/>
          <w:b/>
          <w:spacing w:val="0"/>
          <w:szCs w:val="24"/>
          <w:rtl/>
        </w:rPr>
        <w:t>ארבל</w:t>
      </w:r>
      <w:r w:rsidRPr="00643EF4">
        <w:rPr>
          <w:rFonts w:hint="cs"/>
          <w:rtl/>
        </w:rPr>
        <w:t xml:space="preserve"> (9.6.2011)</w:t>
      </w:r>
      <w:r w:rsidRPr="00643EF4">
        <w:rPr>
          <w:rFonts w:ascii="Century" w:hAnsi="Century"/>
          <w:rtl/>
        </w:rPr>
        <w:t>).</w:t>
      </w:r>
    </w:p>
    <w:p w14:paraId="7E6707C5" w14:textId="77777777" w:rsidR="000E5D20" w:rsidRPr="00643EF4" w:rsidRDefault="000E5D20" w:rsidP="000E5D20">
      <w:pPr>
        <w:pStyle w:val="Ruller4"/>
        <w:numPr>
          <w:ilvl w:val="0"/>
          <w:numId w:val="0"/>
        </w:numPr>
        <w:rPr>
          <w:rtl/>
        </w:rPr>
      </w:pPr>
    </w:p>
    <w:p w14:paraId="51A2151D" w14:textId="77777777" w:rsidR="000E5D20" w:rsidRPr="00643EF4" w:rsidRDefault="000E5D20" w:rsidP="000E5D20">
      <w:pPr>
        <w:pStyle w:val="Ruller4"/>
        <w:numPr>
          <w:ilvl w:val="0"/>
          <w:numId w:val="0"/>
        </w:numPr>
        <w:rPr>
          <w:rtl/>
        </w:rPr>
      </w:pPr>
      <w:r w:rsidRPr="00643EF4">
        <w:rPr>
          <w:rtl/>
        </w:rPr>
        <w:tab/>
      </w:r>
      <w:r w:rsidRPr="00643EF4">
        <w:rPr>
          <w:rFonts w:hint="cs"/>
          <w:rtl/>
        </w:rPr>
        <w:t xml:space="preserve">לפיכך, בכל הקשור למדיניות המבחינה בין בנייה שלא כדין בישובים פלסטינים באזור לבנייה שלא כדין בישובים ישראלים באזור, איני סבורה כי קיים שוני רלוונטי בין שתי האוכלוסיות. </w:t>
      </w:r>
    </w:p>
    <w:p w14:paraId="5210DFD0" w14:textId="77777777" w:rsidR="000E5D20" w:rsidRPr="00643EF4" w:rsidRDefault="000E5D20" w:rsidP="000E5D20">
      <w:pPr>
        <w:pStyle w:val="Ruller4"/>
        <w:numPr>
          <w:ilvl w:val="0"/>
          <w:numId w:val="0"/>
        </w:numPr>
        <w:tabs>
          <w:tab w:val="num" w:pos="907"/>
        </w:tabs>
        <w:rPr>
          <w:rtl/>
        </w:rPr>
      </w:pPr>
    </w:p>
    <w:p w14:paraId="6C670614" w14:textId="3FFFEEB8" w:rsidR="000E5D20" w:rsidRPr="00643EF4" w:rsidRDefault="000E5D20" w:rsidP="000E5D20">
      <w:pPr>
        <w:pStyle w:val="Ruller4"/>
        <w:tabs>
          <w:tab w:val="num" w:pos="10307"/>
        </w:tabs>
        <w:rPr>
          <w:rFonts w:ascii="Century" w:hAnsi="Century"/>
          <w:sz w:val="22"/>
          <w:rtl/>
        </w:rPr>
      </w:pPr>
      <w:r w:rsidRPr="00643EF4">
        <w:rPr>
          <w:rFonts w:hint="cs"/>
          <w:rtl/>
        </w:rPr>
        <w:t xml:space="preserve">פסק הדין בעניין </w:t>
      </w:r>
      <w:r w:rsidRPr="00643EF4">
        <w:rPr>
          <w:rFonts w:cs="Miriam" w:hint="cs"/>
          <w:b/>
          <w:spacing w:val="0"/>
          <w:szCs w:val="24"/>
          <w:rtl/>
        </w:rPr>
        <w:t>ניר</w:t>
      </w:r>
      <w:r w:rsidRPr="00643EF4">
        <w:rPr>
          <w:rFonts w:hint="cs"/>
          <w:rtl/>
        </w:rPr>
        <w:t xml:space="preserve"> אף הוא אין בו כדי לסייע למשיבות ככל שהדבר נוגע לביסוסו של שוני רלוונטי השולל פגיעה בזכות החוקתית לשוויון. בעניין </w:t>
      </w:r>
      <w:r w:rsidRPr="00643EF4">
        <w:rPr>
          <w:rFonts w:cs="Miriam" w:hint="cs"/>
          <w:b/>
          <w:spacing w:val="0"/>
          <w:szCs w:val="24"/>
          <w:rtl/>
        </w:rPr>
        <w:t>ניר</w:t>
      </w:r>
      <w:r w:rsidRPr="00643EF4">
        <w:rPr>
          <w:rFonts w:hint="cs"/>
          <w:rtl/>
        </w:rPr>
        <w:t xml:space="preserve"> נדרש בית משפט זה לבחון מדיניות אכיפה שעוגנה בחוק </w:t>
      </w:r>
      <w:r w:rsidRPr="00643EF4">
        <w:rPr>
          <w:rFonts w:ascii="Century" w:hAnsi="Century" w:hint="cs"/>
          <w:sz w:val="22"/>
          <w:rtl/>
        </w:rPr>
        <w:t>הפסקת הליכים ומחיקת רישומים בעניין תכנית ההתנתקות, התש"ע-2010. בית המשפט עמד על כך שתוצאת החלתו של חוק זה היא "קשה ואינה שוויונית, כיוון שהיא מייחדת קבוצה אחת בחברה הישראלית ומחריגה אותה מהדין הפלילי". עוד נפסק כי "קבוצת השוויון הרלוונטית בנסיבות אלה היא למעשה הציבור כולו, החשוף להעמדה לדין, או שהועמד כבר לדין בגין עבירות דומות" (</w:t>
      </w:r>
      <w:r w:rsidRPr="00643EF4">
        <w:rPr>
          <w:rFonts w:ascii="Century" w:hAnsi="Century" w:cs="Miriam" w:hint="cs"/>
          <w:b/>
          <w:spacing w:val="0"/>
          <w:sz w:val="22"/>
          <w:szCs w:val="24"/>
          <w:rtl/>
        </w:rPr>
        <w:t>שם</w:t>
      </w:r>
      <w:r w:rsidRPr="00643EF4">
        <w:rPr>
          <w:rFonts w:ascii="Century" w:hAnsi="Century" w:hint="cs"/>
          <w:sz w:val="22"/>
          <w:rtl/>
        </w:rPr>
        <w:t xml:space="preserve">, בפסקה 16 לחוות הדעת של הנשיאה </w:t>
      </w:r>
      <w:r w:rsidRPr="00643EF4">
        <w:rPr>
          <w:rFonts w:ascii="Century" w:hAnsi="Century" w:cs="Miriam" w:hint="cs"/>
          <w:b/>
          <w:spacing w:val="0"/>
          <w:sz w:val="22"/>
          <w:szCs w:val="24"/>
          <w:rtl/>
        </w:rPr>
        <w:t>ד' ביניש</w:t>
      </w:r>
      <w:r w:rsidRPr="00643EF4">
        <w:rPr>
          <w:rFonts w:ascii="Century" w:hAnsi="Century" w:hint="cs"/>
          <w:sz w:val="22"/>
          <w:rtl/>
        </w:rPr>
        <w:t xml:space="preserve">). בית המשפט הוסיף ובחן האם מדובר באותו עניין בפגיעה בשוויון וציין </w:t>
      </w:r>
      <w:r w:rsidRPr="00643EF4">
        <w:rPr>
          <w:rFonts w:ascii="Century" w:hAnsi="Century" w:cs="Miriam" w:hint="cs"/>
          <w:b/>
          <w:spacing w:val="0"/>
          <w:szCs w:val="24"/>
          <w:rtl/>
        </w:rPr>
        <w:t>"</w:t>
      </w:r>
      <w:r w:rsidRPr="00643EF4">
        <w:rPr>
          <w:rFonts w:hint="cs"/>
          <w:rtl/>
        </w:rPr>
        <w:t xml:space="preserve"> בנסיבות העניין שלפנינו אכן נקבעה בחוק נורמה הפוגעת בזכות לשוויון, </w:t>
      </w:r>
      <w:r w:rsidRPr="00643EF4">
        <w:rPr>
          <w:rFonts w:ascii="Century" w:hAnsi="Century" w:hint="cs"/>
          <w:sz w:val="22"/>
          <w:rtl/>
        </w:rPr>
        <w:t>מתוך שהיא</w:t>
      </w:r>
      <w:r w:rsidRPr="00643EF4">
        <w:rPr>
          <w:rFonts w:ascii="Century" w:hAnsi="Century" w:cs="Miriam" w:hint="cs"/>
          <w:b/>
          <w:spacing w:val="0"/>
          <w:sz w:val="22"/>
          <w:szCs w:val="24"/>
          <w:rtl/>
        </w:rPr>
        <w:t xml:space="preserve"> מייחדת קבוצת אוכלוסיה מסוימת על פני כל </w:t>
      </w:r>
      <w:r w:rsidRPr="00643EF4">
        <w:rPr>
          <w:rFonts w:ascii="Century" w:hAnsi="Century" w:cs="Miriam" w:hint="cs"/>
          <w:b/>
          <w:spacing w:val="0"/>
          <w:sz w:val="22"/>
          <w:szCs w:val="24"/>
          <w:rtl/>
        </w:rPr>
        <w:lastRenderedPageBreak/>
        <w:t>קבוצות האוכלוסין האחרות</w:t>
      </w:r>
      <w:r w:rsidRPr="00643EF4">
        <w:rPr>
          <w:rFonts w:hint="cs"/>
          <w:rtl/>
        </w:rPr>
        <w:t>.</w:t>
      </w:r>
      <w:r w:rsidRPr="00643EF4">
        <w:rPr>
          <w:rFonts w:ascii="Century" w:hAnsi="Century" w:hint="cs"/>
          <w:sz w:val="22"/>
          <w:rtl/>
        </w:rPr>
        <w:t>"</w:t>
      </w:r>
      <w:r w:rsidRPr="00643EF4">
        <w:rPr>
          <w:rFonts w:hint="cs"/>
          <w:rtl/>
        </w:rPr>
        <w:t xml:space="preserve"> (</w:t>
      </w:r>
      <w:r w:rsidRPr="00643EF4">
        <w:rPr>
          <w:rFonts w:ascii="Century" w:hAnsi="Century" w:hint="cs"/>
          <w:sz w:val="22"/>
          <w:rtl/>
        </w:rPr>
        <w:t xml:space="preserve">ההדגשות הוספו. </w:t>
      </w:r>
      <w:r w:rsidRPr="00643EF4">
        <w:rPr>
          <w:rFonts w:ascii="Century" w:hAnsi="Century" w:cs="Miriam" w:hint="cs"/>
          <w:b/>
          <w:spacing w:val="0"/>
          <w:szCs w:val="24"/>
          <w:rtl/>
        </w:rPr>
        <w:t>שם</w:t>
      </w:r>
      <w:r w:rsidRPr="00643EF4">
        <w:rPr>
          <w:rFonts w:hint="cs"/>
          <w:rtl/>
        </w:rPr>
        <w:t xml:space="preserve">, בפסקאות 18-17 לחוות דעתה של הנשיאה </w:t>
      </w:r>
      <w:r w:rsidRPr="00643EF4">
        <w:rPr>
          <w:rFonts w:ascii="Century" w:hAnsi="Century" w:cs="Miriam" w:hint="cs"/>
          <w:b/>
          <w:spacing w:val="0"/>
          <w:sz w:val="22"/>
          <w:szCs w:val="24"/>
          <w:rtl/>
        </w:rPr>
        <w:t>ד' ביניש</w:t>
      </w:r>
      <w:r w:rsidRPr="00643EF4">
        <w:rPr>
          <w:rFonts w:hint="cs"/>
          <w:rtl/>
        </w:rPr>
        <w:t xml:space="preserve">). עם זאת, סבר בית המשפט </w:t>
      </w:r>
      <w:r w:rsidRPr="00643EF4">
        <w:rPr>
          <w:rFonts w:ascii="Century" w:hAnsi="Century" w:hint="cs"/>
          <w:sz w:val="22"/>
          <w:rtl/>
        </w:rPr>
        <w:t xml:space="preserve">כי בעקבות תכנית ההתנתקות וביצועה נוצרו נסיבות יוצאות דופן </w:t>
      </w:r>
      <w:r w:rsidRPr="00643EF4">
        <w:rPr>
          <w:rFonts w:hint="cs"/>
          <w:rtl/>
        </w:rPr>
        <w:t xml:space="preserve">שהובילו לחקיקת החוק וכי </w:t>
      </w:r>
      <w:r w:rsidRPr="00643EF4">
        <w:rPr>
          <w:rFonts w:ascii="Century" w:hAnsi="Century" w:hint="cs"/>
          <w:sz w:val="22"/>
          <w:rtl/>
        </w:rPr>
        <w:t>קיימים מספר היבטים ייחודיים להסדר שנקבע בו אשר יש בהם</w:t>
      </w:r>
      <w:r w:rsidRPr="00643EF4">
        <w:rPr>
          <w:rFonts w:hint="cs"/>
          <w:rtl/>
        </w:rPr>
        <w:t xml:space="preserve"> כדי להפחית מעוצמת הפגיעה בזכות לשוויון ובראשם העובדה שהחוק חל על מספר מצומצם של מקרים ושעיקר משמעותו היא ברמה ההצהרתית (</w:t>
      </w:r>
      <w:r w:rsidRPr="00643EF4">
        <w:rPr>
          <w:rFonts w:ascii="Century" w:hAnsi="Century" w:cs="Miriam" w:hint="cs"/>
          <w:b/>
          <w:spacing w:val="0"/>
          <w:sz w:val="22"/>
          <w:szCs w:val="24"/>
          <w:rtl/>
        </w:rPr>
        <w:t>שם</w:t>
      </w:r>
      <w:r w:rsidRPr="00643EF4">
        <w:rPr>
          <w:rFonts w:hint="cs"/>
          <w:rtl/>
        </w:rPr>
        <w:t xml:space="preserve">). בענייננו, העובדה שהחוק מכוון את עצמו, בין היתר, לבנייה שלא כדין שבוצעה בהסכמת המדינה ורשויותיה יש בה </w:t>
      </w:r>
      <w:r w:rsidR="0027587B" w:rsidRPr="00643EF4">
        <w:rPr>
          <w:rFonts w:hint="cs"/>
          <w:rtl/>
        </w:rPr>
        <w:t xml:space="preserve">אכן </w:t>
      </w:r>
      <w:r w:rsidRPr="00643EF4">
        <w:rPr>
          <w:rFonts w:hint="cs"/>
          <w:rtl/>
        </w:rPr>
        <w:t xml:space="preserve">כדי להצביע על היבטים ייחודיים ועל נסיבות יוצאות דופן, ועוד נשוב לעניין זה בהמשך הדברים. אך בשונה מעניין </w:t>
      </w:r>
      <w:r w:rsidRPr="00643EF4">
        <w:rPr>
          <w:rFonts w:ascii="Century" w:hAnsi="Century" w:cs="Miriam" w:hint="cs"/>
          <w:b/>
          <w:spacing w:val="0"/>
          <w:sz w:val="22"/>
          <w:szCs w:val="24"/>
          <w:rtl/>
        </w:rPr>
        <w:t xml:space="preserve">ניר </w:t>
      </w:r>
      <w:r w:rsidRPr="00643EF4">
        <w:rPr>
          <w:rFonts w:ascii="Century" w:hAnsi="Century" w:hint="cs"/>
          <w:sz w:val="22"/>
          <w:rtl/>
        </w:rPr>
        <w:t xml:space="preserve">אין מדובר בחוק שמשמעותו הצהרתית ואשר יחול במספר מקרים מצומצם בלבד. מהנתונים שהציגה הממשלה עולה כי מדובר באלפי מבנים ומשפחות, שרובם המוחלט ישראלים. הבחנה כזו ובהיקף כזה בין תושבי האזור הישראלים לתושבים הפלסטינים היא על פי טיבה הבחנה "חשודה". </w:t>
      </w:r>
    </w:p>
    <w:p w14:paraId="47610D19" w14:textId="77777777" w:rsidR="000E5D20" w:rsidRPr="00643EF4" w:rsidRDefault="000E5D20" w:rsidP="000E5D20">
      <w:pPr>
        <w:pStyle w:val="Ruller41"/>
        <w:rPr>
          <w:rtl/>
        </w:rPr>
      </w:pPr>
    </w:p>
    <w:p w14:paraId="71405E35" w14:textId="79599C16" w:rsidR="000E5D20" w:rsidRPr="00643EF4" w:rsidRDefault="000E5D20" w:rsidP="00F86CF9">
      <w:pPr>
        <w:pStyle w:val="Ruller4"/>
        <w:tabs>
          <w:tab w:val="num" w:pos="10307"/>
        </w:tabs>
      </w:pPr>
      <w:r w:rsidRPr="00643EF4">
        <w:rPr>
          <w:rFonts w:hint="eastAsia"/>
          <w:sz w:val="22"/>
          <w:rtl/>
        </w:rPr>
        <w:t>בהקשרים</w:t>
      </w:r>
      <w:r w:rsidRPr="00643EF4">
        <w:rPr>
          <w:sz w:val="22"/>
          <w:rtl/>
        </w:rPr>
        <w:t xml:space="preserve"> </w:t>
      </w:r>
      <w:r w:rsidRPr="00643EF4">
        <w:rPr>
          <w:rFonts w:hint="eastAsia"/>
          <w:sz w:val="22"/>
          <w:rtl/>
        </w:rPr>
        <w:t>אחרים</w:t>
      </w:r>
      <w:r w:rsidRPr="00643EF4">
        <w:rPr>
          <w:sz w:val="22"/>
          <w:rtl/>
        </w:rPr>
        <w:t xml:space="preserve"> </w:t>
      </w:r>
      <w:r w:rsidRPr="00643EF4">
        <w:rPr>
          <w:rFonts w:hint="eastAsia"/>
          <w:sz w:val="22"/>
          <w:rtl/>
        </w:rPr>
        <w:t>כבר</w:t>
      </w:r>
      <w:r w:rsidRPr="00643EF4">
        <w:rPr>
          <w:sz w:val="22"/>
          <w:rtl/>
        </w:rPr>
        <w:t xml:space="preserve"> </w:t>
      </w:r>
      <w:r w:rsidRPr="00643EF4">
        <w:rPr>
          <w:rFonts w:hint="eastAsia"/>
          <w:sz w:val="22"/>
          <w:rtl/>
        </w:rPr>
        <w:t>נפסק</w:t>
      </w:r>
      <w:r w:rsidRPr="00643EF4">
        <w:rPr>
          <w:sz w:val="22"/>
          <w:rtl/>
        </w:rPr>
        <w:t xml:space="preserve"> </w:t>
      </w:r>
      <w:r w:rsidRPr="00643EF4">
        <w:rPr>
          <w:rFonts w:hint="eastAsia"/>
          <w:sz w:val="22"/>
          <w:rtl/>
        </w:rPr>
        <w:t>כי</w:t>
      </w:r>
      <w:r w:rsidRPr="00643EF4">
        <w:rPr>
          <w:sz w:val="22"/>
          <w:rtl/>
        </w:rPr>
        <w:t xml:space="preserve"> "</w:t>
      </w:r>
      <w:r w:rsidRPr="00643EF4">
        <w:rPr>
          <w:rFonts w:hint="eastAsia"/>
          <w:sz w:val="22"/>
          <w:rtl/>
        </w:rPr>
        <w:t>טיפול</w:t>
      </w:r>
      <w:r w:rsidRPr="00643EF4">
        <w:rPr>
          <w:sz w:val="22"/>
          <w:rtl/>
        </w:rPr>
        <w:t xml:space="preserve"> </w:t>
      </w:r>
      <w:r w:rsidRPr="00643EF4">
        <w:rPr>
          <w:rFonts w:hint="eastAsia"/>
          <w:sz w:val="22"/>
          <w:rtl/>
        </w:rPr>
        <w:t>שונה</w:t>
      </w:r>
      <w:r w:rsidRPr="00643EF4">
        <w:rPr>
          <w:sz w:val="22"/>
          <w:rtl/>
        </w:rPr>
        <w:t xml:space="preserve"> </w:t>
      </w:r>
      <w:r w:rsidRPr="00643EF4">
        <w:rPr>
          <w:rFonts w:hint="eastAsia"/>
          <w:sz w:val="22"/>
          <w:rtl/>
        </w:rPr>
        <w:t>בשל</w:t>
      </w:r>
      <w:r w:rsidRPr="00643EF4">
        <w:rPr>
          <w:sz w:val="22"/>
          <w:rtl/>
        </w:rPr>
        <w:t xml:space="preserve"> </w:t>
      </w:r>
      <w:r w:rsidRPr="00643EF4">
        <w:rPr>
          <w:rFonts w:hint="eastAsia"/>
          <w:sz w:val="22"/>
          <w:rtl/>
        </w:rPr>
        <w:t>דת</w:t>
      </w:r>
      <w:r w:rsidRPr="00643EF4">
        <w:rPr>
          <w:sz w:val="22"/>
          <w:rtl/>
        </w:rPr>
        <w:t xml:space="preserve"> </w:t>
      </w:r>
      <w:r w:rsidRPr="00643EF4">
        <w:rPr>
          <w:rFonts w:hint="eastAsia"/>
          <w:sz w:val="22"/>
          <w:rtl/>
        </w:rPr>
        <w:t>או</w:t>
      </w:r>
      <w:r w:rsidRPr="00643EF4">
        <w:rPr>
          <w:sz w:val="22"/>
          <w:rtl/>
        </w:rPr>
        <w:t xml:space="preserve"> </w:t>
      </w:r>
      <w:r w:rsidRPr="00643EF4">
        <w:rPr>
          <w:rFonts w:hint="eastAsia"/>
          <w:sz w:val="22"/>
          <w:rtl/>
        </w:rPr>
        <w:t>לאום</w:t>
      </w:r>
      <w:r w:rsidRPr="00643EF4">
        <w:rPr>
          <w:sz w:val="22"/>
          <w:rtl/>
        </w:rPr>
        <w:t xml:space="preserve"> </w:t>
      </w:r>
      <w:r w:rsidRPr="00643EF4">
        <w:rPr>
          <w:rFonts w:hint="eastAsia"/>
          <w:sz w:val="22"/>
          <w:rtl/>
        </w:rPr>
        <w:t>הוא</w:t>
      </w:r>
      <w:r w:rsidRPr="00643EF4">
        <w:rPr>
          <w:sz w:val="22"/>
          <w:rtl/>
        </w:rPr>
        <w:t xml:space="preserve"> </w:t>
      </w:r>
      <w:r w:rsidRPr="00643EF4">
        <w:rPr>
          <w:rFonts w:hint="eastAsia"/>
          <w:sz w:val="22"/>
          <w:rtl/>
        </w:rPr>
        <w:t>טיפול</w:t>
      </w:r>
      <w:r w:rsidRPr="00643EF4">
        <w:rPr>
          <w:sz w:val="22"/>
          <w:rtl/>
        </w:rPr>
        <w:t xml:space="preserve"> '</w:t>
      </w:r>
      <w:r w:rsidRPr="00643EF4">
        <w:rPr>
          <w:rFonts w:hint="eastAsia"/>
          <w:sz w:val="22"/>
          <w:rtl/>
        </w:rPr>
        <w:t>חשוד</w:t>
      </w:r>
      <w:r w:rsidRPr="00643EF4">
        <w:rPr>
          <w:sz w:val="22"/>
          <w:rtl/>
        </w:rPr>
        <w:t xml:space="preserve">' </w:t>
      </w:r>
      <w:r w:rsidRPr="00643EF4">
        <w:rPr>
          <w:rFonts w:hint="eastAsia"/>
          <w:sz w:val="22"/>
          <w:rtl/>
        </w:rPr>
        <w:t>והוא</w:t>
      </w:r>
      <w:r w:rsidRPr="00643EF4">
        <w:rPr>
          <w:sz w:val="22"/>
          <w:rtl/>
        </w:rPr>
        <w:t xml:space="preserve"> </w:t>
      </w:r>
      <w:r w:rsidRPr="00643EF4">
        <w:rPr>
          <w:rFonts w:hint="eastAsia"/>
          <w:sz w:val="22"/>
          <w:rtl/>
        </w:rPr>
        <w:t>לכאורה</w:t>
      </w:r>
      <w:r w:rsidRPr="00643EF4">
        <w:rPr>
          <w:sz w:val="22"/>
          <w:rtl/>
        </w:rPr>
        <w:t xml:space="preserve"> </w:t>
      </w:r>
      <w:r w:rsidRPr="00643EF4">
        <w:rPr>
          <w:rFonts w:hint="eastAsia"/>
          <w:sz w:val="22"/>
          <w:rtl/>
        </w:rPr>
        <w:t>טיפול</w:t>
      </w:r>
      <w:r w:rsidRPr="00643EF4">
        <w:rPr>
          <w:sz w:val="22"/>
          <w:rtl/>
        </w:rPr>
        <w:t xml:space="preserve"> </w:t>
      </w:r>
      <w:r w:rsidRPr="00643EF4">
        <w:rPr>
          <w:rFonts w:hint="eastAsia"/>
          <w:sz w:val="22"/>
          <w:rtl/>
        </w:rPr>
        <w:t>מפלה</w:t>
      </w:r>
      <w:r w:rsidRPr="00643EF4">
        <w:rPr>
          <w:sz w:val="22"/>
          <w:rtl/>
        </w:rPr>
        <w:t>" (</w:t>
      </w:r>
      <w:r w:rsidR="00F86CF9" w:rsidRPr="00643EF4">
        <w:rPr>
          <w:rFonts w:hint="eastAsia"/>
          <w:sz w:val="22"/>
          <w:rtl/>
        </w:rPr>
        <w:t>עניין</w:t>
      </w:r>
      <w:r w:rsidR="00F86CF9" w:rsidRPr="00643EF4">
        <w:rPr>
          <w:sz w:val="22"/>
          <w:rtl/>
        </w:rPr>
        <w:t xml:space="preserve"> </w:t>
      </w:r>
      <w:r w:rsidR="00F86CF9" w:rsidRPr="00643EF4">
        <w:rPr>
          <w:rFonts w:cs="Miriam" w:hint="eastAsia"/>
          <w:b/>
          <w:spacing w:val="0"/>
          <w:sz w:val="22"/>
          <w:szCs w:val="24"/>
          <w:rtl/>
        </w:rPr>
        <w:t>קעדאן</w:t>
      </w:r>
      <w:r w:rsidR="00F86CF9" w:rsidRPr="00643EF4">
        <w:rPr>
          <w:rtl/>
        </w:rPr>
        <w:t xml:space="preserve">, </w:t>
      </w:r>
      <w:r w:rsidR="00F86CF9" w:rsidRPr="00643EF4">
        <w:rPr>
          <w:rFonts w:hint="eastAsia"/>
          <w:sz w:val="22"/>
          <w:rtl/>
        </w:rPr>
        <w:t>בעמ</w:t>
      </w:r>
      <w:r w:rsidR="00F86CF9" w:rsidRPr="00643EF4">
        <w:rPr>
          <w:sz w:val="22"/>
          <w:rtl/>
        </w:rPr>
        <w:t>' 276</w:t>
      </w:r>
      <w:r w:rsidRPr="00643EF4">
        <w:rPr>
          <w:sz w:val="22"/>
          <w:rtl/>
        </w:rPr>
        <w:t xml:space="preserve">; </w:t>
      </w:r>
      <w:r w:rsidRPr="00643EF4">
        <w:rPr>
          <w:rFonts w:hint="cs"/>
          <w:rtl/>
        </w:rPr>
        <w:t xml:space="preserve">עניין </w:t>
      </w:r>
      <w:r w:rsidRPr="00643EF4">
        <w:rPr>
          <w:rFonts w:cs="Miriam" w:hint="eastAsia"/>
          <w:b/>
          <w:spacing w:val="0"/>
          <w:szCs w:val="24"/>
          <w:rtl/>
        </w:rPr>
        <w:t>ועדת</w:t>
      </w:r>
      <w:r w:rsidRPr="00643EF4">
        <w:rPr>
          <w:rFonts w:cs="Miriam"/>
          <w:b/>
          <w:spacing w:val="0"/>
          <w:szCs w:val="24"/>
          <w:rtl/>
        </w:rPr>
        <w:t xml:space="preserve"> </w:t>
      </w:r>
      <w:r w:rsidRPr="00643EF4">
        <w:rPr>
          <w:rFonts w:cs="Miriam" w:hint="eastAsia"/>
          <w:b/>
          <w:spacing w:val="0"/>
          <w:szCs w:val="24"/>
          <w:rtl/>
        </w:rPr>
        <w:t>המעקב</w:t>
      </w:r>
      <w:r w:rsidRPr="00643EF4">
        <w:rPr>
          <w:rFonts w:cs="Miriam"/>
          <w:b/>
          <w:spacing w:val="0"/>
          <w:szCs w:val="24"/>
          <w:rtl/>
        </w:rPr>
        <w:t xml:space="preserve"> </w:t>
      </w:r>
      <w:r w:rsidRPr="00643EF4">
        <w:rPr>
          <w:rFonts w:cs="Miriam" w:hint="eastAsia"/>
          <w:b/>
          <w:spacing w:val="0"/>
          <w:szCs w:val="24"/>
          <w:rtl/>
        </w:rPr>
        <w:t>העליונה</w:t>
      </w:r>
      <w:r w:rsidRPr="00643EF4">
        <w:rPr>
          <w:rFonts w:hint="cs"/>
          <w:rtl/>
        </w:rPr>
        <w:t xml:space="preserve">, פסקה 20 לחוות דעתו של הנשיא </w:t>
      </w:r>
      <w:r w:rsidRPr="00643EF4">
        <w:rPr>
          <w:rFonts w:cs="Miriam" w:hint="eastAsia"/>
          <w:b/>
          <w:spacing w:val="0"/>
          <w:szCs w:val="24"/>
          <w:rtl/>
        </w:rPr>
        <w:t>א</w:t>
      </w:r>
      <w:r w:rsidRPr="00643EF4">
        <w:rPr>
          <w:rFonts w:cs="Miriam"/>
          <w:b/>
          <w:spacing w:val="0"/>
          <w:szCs w:val="24"/>
          <w:rtl/>
        </w:rPr>
        <w:t xml:space="preserve">' </w:t>
      </w:r>
      <w:r w:rsidRPr="00643EF4">
        <w:rPr>
          <w:rFonts w:cs="Miriam" w:hint="eastAsia"/>
          <w:b/>
          <w:spacing w:val="0"/>
          <w:szCs w:val="24"/>
          <w:rtl/>
        </w:rPr>
        <w:t>ברק</w:t>
      </w:r>
      <w:r w:rsidRPr="00643EF4">
        <w:rPr>
          <w:sz w:val="22"/>
          <w:rtl/>
        </w:rPr>
        <w:t xml:space="preserve">. </w:t>
      </w:r>
      <w:r w:rsidRPr="00643EF4">
        <w:rPr>
          <w:rFonts w:ascii="Century" w:hAnsi="Century" w:hint="eastAsia"/>
          <w:sz w:val="22"/>
          <w:rtl/>
        </w:rPr>
        <w:t>פגיעה</w:t>
      </w:r>
      <w:r w:rsidRPr="00643EF4">
        <w:rPr>
          <w:rFonts w:ascii="Century" w:hAnsi="Century"/>
          <w:sz w:val="22"/>
          <w:rtl/>
        </w:rPr>
        <w:t xml:space="preserve"> </w:t>
      </w:r>
      <w:r w:rsidRPr="00643EF4">
        <w:rPr>
          <w:rFonts w:ascii="Century" w:hAnsi="Century" w:hint="cs"/>
          <w:sz w:val="22"/>
          <w:rtl/>
        </w:rPr>
        <w:t>כ</w:t>
      </w:r>
      <w:r w:rsidRPr="00643EF4">
        <w:rPr>
          <w:rFonts w:ascii="Century" w:hAnsi="Century" w:hint="eastAsia"/>
          <w:sz w:val="22"/>
          <w:rtl/>
        </w:rPr>
        <w:t>זו</w:t>
      </w:r>
      <w:r w:rsidRPr="00643EF4">
        <w:rPr>
          <w:rFonts w:ascii="Century" w:hAnsi="Century"/>
          <w:sz w:val="22"/>
          <w:rtl/>
        </w:rPr>
        <w:t xml:space="preserve"> </w:t>
      </w:r>
      <w:r w:rsidRPr="00643EF4">
        <w:rPr>
          <w:rFonts w:ascii="Century" w:hAnsi="Century" w:hint="eastAsia"/>
          <w:sz w:val="22"/>
          <w:rtl/>
        </w:rPr>
        <w:t>בתושבי</w:t>
      </w:r>
      <w:r w:rsidRPr="00643EF4">
        <w:rPr>
          <w:rFonts w:ascii="Century" w:hAnsi="Century"/>
          <w:sz w:val="22"/>
          <w:rtl/>
        </w:rPr>
        <w:t xml:space="preserve"> </w:t>
      </w:r>
      <w:r w:rsidRPr="00643EF4">
        <w:rPr>
          <w:rFonts w:ascii="Century" w:hAnsi="Century" w:hint="eastAsia"/>
          <w:sz w:val="22"/>
          <w:rtl/>
        </w:rPr>
        <w:t>האזור</w:t>
      </w:r>
      <w:r w:rsidRPr="00643EF4">
        <w:rPr>
          <w:rFonts w:ascii="Century" w:hAnsi="Century"/>
          <w:sz w:val="22"/>
          <w:rtl/>
        </w:rPr>
        <w:t xml:space="preserve"> </w:t>
      </w:r>
      <w:r w:rsidRPr="00643EF4">
        <w:rPr>
          <w:rFonts w:ascii="Century" w:hAnsi="Century" w:hint="eastAsia"/>
          <w:sz w:val="22"/>
          <w:rtl/>
        </w:rPr>
        <w:t>הפלסטינים</w:t>
      </w:r>
      <w:r w:rsidRPr="00643EF4">
        <w:rPr>
          <w:rFonts w:ascii="Century" w:hAnsi="Century"/>
          <w:sz w:val="22"/>
          <w:rtl/>
        </w:rPr>
        <w:t xml:space="preserve"> </w:t>
      </w:r>
      <w:r w:rsidRPr="00643EF4">
        <w:rPr>
          <w:rFonts w:ascii="Century" w:hAnsi="Century"/>
          <w:sz w:val="22"/>
        </w:rPr>
        <w:t>"</w:t>
      </w:r>
      <w:r w:rsidRPr="00643EF4">
        <w:rPr>
          <w:rFonts w:ascii="Century" w:hAnsi="Century" w:hint="eastAsia"/>
          <w:sz w:val="22"/>
          <w:rtl/>
        </w:rPr>
        <w:t>אי</w:t>
      </w:r>
      <w:r w:rsidRPr="00643EF4">
        <w:rPr>
          <w:rFonts w:hint="eastAsia"/>
          <w:rtl/>
        </w:rPr>
        <w:t>נה</w:t>
      </w:r>
      <w:r w:rsidRPr="00643EF4">
        <w:rPr>
          <w:rtl/>
        </w:rPr>
        <w:t xml:space="preserve"> </w:t>
      </w:r>
      <w:r w:rsidRPr="00643EF4">
        <w:rPr>
          <w:rFonts w:hint="eastAsia"/>
          <w:rtl/>
        </w:rPr>
        <w:t>אך</w:t>
      </w:r>
      <w:r w:rsidRPr="00643EF4">
        <w:rPr>
          <w:rtl/>
        </w:rPr>
        <w:t xml:space="preserve"> </w:t>
      </w:r>
      <w:r w:rsidRPr="00643EF4">
        <w:rPr>
          <w:rFonts w:hint="eastAsia"/>
          <w:rtl/>
        </w:rPr>
        <w:t>פגיעה</w:t>
      </w:r>
      <w:r w:rsidRPr="00643EF4">
        <w:rPr>
          <w:rtl/>
        </w:rPr>
        <w:t xml:space="preserve"> </w:t>
      </w:r>
      <w:r w:rsidRPr="00643EF4">
        <w:rPr>
          <w:rFonts w:hint="eastAsia"/>
          <w:rtl/>
        </w:rPr>
        <w:t>בשוויון</w:t>
      </w:r>
      <w:r w:rsidRPr="00643EF4">
        <w:rPr>
          <w:rtl/>
        </w:rPr>
        <w:t xml:space="preserve">, </w:t>
      </w:r>
      <w:r w:rsidRPr="00643EF4">
        <w:rPr>
          <w:rFonts w:hint="eastAsia"/>
          <w:rtl/>
        </w:rPr>
        <w:t>אלא</w:t>
      </w:r>
      <w:r w:rsidRPr="00643EF4">
        <w:rPr>
          <w:rtl/>
        </w:rPr>
        <w:t xml:space="preserve"> </w:t>
      </w:r>
      <w:r w:rsidRPr="00643EF4">
        <w:rPr>
          <w:rFonts w:hint="eastAsia"/>
          <w:rtl/>
        </w:rPr>
        <w:t>היא</w:t>
      </w:r>
      <w:r w:rsidRPr="00643EF4">
        <w:rPr>
          <w:rtl/>
        </w:rPr>
        <w:t xml:space="preserve"> </w:t>
      </w:r>
      <w:r w:rsidRPr="00643EF4">
        <w:rPr>
          <w:rFonts w:hint="eastAsia"/>
          <w:rtl/>
        </w:rPr>
        <w:t>גם</w:t>
      </w:r>
      <w:r w:rsidRPr="00643EF4">
        <w:rPr>
          <w:rtl/>
        </w:rPr>
        <w:t xml:space="preserve"> </w:t>
      </w:r>
      <w:r w:rsidRPr="00643EF4">
        <w:rPr>
          <w:rFonts w:hint="eastAsia"/>
          <w:rtl/>
        </w:rPr>
        <w:t>פגיעה</w:t>
      </w:r>
      <w:r w:rsidRPr="00643EF4">
        <w:rPr>
          <w:rtl/>
        </w:rPr>
        <w:t xml:space="preserve"> </w:t>
      </w:r>
      <w:r w:rsidRPr="00643EF4">
        <w:rPr>
          <w:rFonts w:hint="eastAsia"/>
          <w:rtl/>
        </w:rPr>
        <w:t>בכבודם</w:t>
      </w:r>
      <w:r w:rsidRPr="00643EF4">
        <w:rPr>
          <w:rtl/>
        </w:rPr>
        <w:t xml:space="preserve">. </w:t>
      </w:r>
      <w:r w:rsidRPr="00643EF4">
        <w:rPr>
          <w:rFonts w:hint="eastAsia"/>
          <w:rtl/>
        </w:rPr>
        <w:t>היא</w:t>
      </w:r>
      <w:r w:rsidRPr="00643EF4">
        <w:rPr>
          <w:rtl/>
        </w:rPr>
        <w:t xml:space="preserve"> </w:t>
      </w:r>
      <w:r w:rsidRPr="00643EF4">
        <w:rPr>
          <w:rFonts w:hint="eastAsia"/>
          <w:rtl/>
        </w:rPr>
        <w:t>פגיעה</w:t>
      </w:r>
      <w:r w:rsidRPr="00643EF4">
        <w:rPr>
          <w:rtl/>
        </w:rPr>
        <w:t xml:space="preserve"> </w:t>
      </w:r>
      <w:r w:rsidRPr="00643EF4">
        <w:rPr>
          <w:rFonts w:hint="eastAsia"/>
          <w:rtl/>
        </w:rPr>
        <w:t>בזכותם</w:t>
      </w:r>
      <w:r w:rsidRPr="00643EF4">
        <w:rPr>
          <w:rtl/>
        </w:rPr>
        <w:t xml:space="preserve"> </w:t>
      </w:r>
      <w:r w:rsidRPr="00643EF4">
        <w:rPr>
          <w:rFonts w:hint="eastAsia"/>
          <w:rtl/>
        </w:rPr>
        <w:t>לקדם</w:t>
      </w:r>
      <w:r w:rsidRPr="00643EF4">
        <w:rPr>
          <w:rtl/>
        </w:rPr>
        <w:t xml:space="preserve"> </w:t>
      </w:r>
      <w:r w:rsidRPr="00643EF4">
        <w:rPr>
          <w:rFonts w:hint="eastAsia"/>
          <w:rtl/>
        </w:rPr>
        <w:t>את</w:t>
      </w:r>
      <w:r w:rsidRPr="00643EF4">
        <w:rPr>
          <w:rtl/>
        </w:rPr>
        <w:t xml:space="preserve"> </w:t>
      </w:r>
      <w:r w:rsidRPr="00643EF4">
        <w:rPr>
          <w:rFonts w:hint="eastAsia"/>
          <w:rtl/>
        </w:rPr>
        <w:t>חייהם</w:t>
      </w:r>
      <w:r w:rsidRPr="00643EF4">
        <w:rPr>
          <w:rtl/>
        </w:rPr>
        <w:t xml:space="preserve"> </w:t>
      </w:r>
      <w:r w:rsidRPr="00643EF4">
        <w:rPr>
          <w:rFonts w:hint="eastAsia"/>
          <w:rtl/>
        </w:rPr>
        <w:t>באורח</w:t>
      </w:r>
      <w:r w:rsidRPr="00643EF4">
        <w:rPr>
          <w:rtl/>
        </w:rPr>
        <w:t xml:space="preserve"> </w:t>
      </w:r>
      <w:r w:rsidRPr="00643EF4">
        <w:rPr>
          <w:rFonts w:hint="eastAsia"/>
          <w:rtl/>
        </w:rPr>
        <w:t>אוטונומי</w:t>
      </w:r>
      <w:r w:rsidRPr="00643EF4">
        <w:rPr>
          <w:rtl/>
        </w:rPr>
        <w:t xml:space="preserve">; </w:t>
      </w:r>
      <w:r w:rsidRPr="00643EF4">
        <w:rPr>
          <w:rFonts w:hint="eastAsia"/>
          <w:rtl/>
        </w:rPr>
        <w:t>היא</w:t>
      </w:r>
      <w:r w:rsidRPr="00643EF4">
        <w:rPr>
          <w:rtl/>
        </w:rPr>
        <w:t xml:space="preserve"> </w:t>
      </w:r>
      <w:r w:rsidRPr="00643EF4">
        <w:rPr>
          <w:rFonts w:hint="eastAsia"/>
          <w:rtl/>
        </w:rPr>
        <w:t>פגיעה</w:t>
      </w:r>
      <w:r w:rsidRPr="00643EF4">
        <w:rPr>
          <w:rtl/>
        </w:rPr>
        <w:t xml:space="preserve"> </w:t>
      </w:r>
      <w:r w:rsidRPr="00643EF4">
        <w:rPr>
          <w:rFonts w:hint="eastAsia"/>
          <w:rtl/>
        </w:rPr>
        <w:t>בפרנסתם</w:t>
      </w:r>
      <w:r w:rsidRPr="00643EF4">
        <w:rPr>
          <w:rtl/>
        </w:rPr>
        <w:t xml:space="preserve">; [...] </w:t>
      </w:r>
      <w:r w:rsidRPr="00643EF4">
        <w:rPr>
          <w:rFonts w:hint="eastAsia"/>
          <w:rtl/>
        </w:rPr>
        <w:t>ובעיקר</w:t>
      </w:r>
      <w:r w:rsidRPr="00643EF4">
        <w:rPr>
          <w:rtl/>
        </w:rPr>
        <w:t xml:space="preserve">, </w:t>
      </w:r>
      <w:r w:rsidRPr="00643EF4">
        <w:rPr>
          <w:rFonts w:hint="eastAsia"/>
          <w:rtl/>
        </w:rPr>
        <w:t>היא</w:t>
      </w:r>
      <w:r w:rsidRPr="00643EF4">
        <w:rPr>
          <w:rtl/>
        </w:rPr>
        <w:t xml:space="preserve"> </w:t>
      </w:r>
      <w:r w:rsidRPr="00643EF4">
        <w:rPr>
          <w:rFonts w:hint="eastAsia"/>
          <w:rtl/>
        </w:rPr>
        <w:t>פגיעה</w:t>
      </w:r>
      <w:r w:rsidRPr="00643EF4">
        <w:rPr>
          <w:rtl/>
        </w:rPr>
        <w:t xml:space="preserve"> </w:t>
      </w:r>
      <w:r w:rsidRPr="00643EF4">
        <w:rPr>
          <w:rFonts w:hint="eastAsia"/>
          <w:rtl/>
        </w:rPr>
        <w:t>בזכותם</w:t>
      </w:r>
      <w:r w:rsidRPr="00643EF4">
        <w:rPr>
          <w:rtl/>
        </w:rPr>
        <w:t xml:space="preserve"> </w:t>
      </w:r>
      <w:r w:rsidRPr="00643EF4">
        <w:rPr>
          <w:rFonts w:hint="eastAsia"/>
          <w:rtl/>
        </w:rPr>
        <w:t>הבסיסית</w:t>
      </w:r>
      <w:r w:rsidRPr="00643EF4">
        <w:rPr>
          <w:rtl/>
        </w:rPr>
        <w:t xml:space="preserve"> </w:t>
      </w:r>
      <w:r w:rsidRPr="00643EF4">
        <w:rPr>
          <w:rFonts w:hint="eastAsia"/>
          <w:rtl/>
        </w:rPr>
        <w:t>שלא</w:t>
      </w:r>
      <w:r w:rsidRPr="00643EF4">
        <w:rPr>
          <w:rtl/>
        </w:rPr>
        <w:t xml:space="preserve"> </w:t>
      </w:r>
      <w:r w:rsidRPr="00643EF4">
        <w:rPr>
          <w:rFonts w:cs="Miriam" w:hint="eastAsia"/>
          <w:b/>
          <w:spacing w:val="0"/>
          <w:szCs w:val="24"/>
          <w:rtl/>
        </w:rPr>
        <w:t>לסבול</w:t>
      </w:r>
      <w:r w:rsidRPr="00643EF4">
        <w:rPr>
          <w:rFonts w:cs="Miriam"/>
          <w:b/>
          <w:spacing w:val="0"/>
          <w:szCs w:val="24"/>
          <w:rtl/>
        </w:rPr>
        <w:t xml:space="preserve"> </w:t>
      </w:r>
      <w:r w:rsidRPr="00643EF4">
        <w:rPr>
          <w:rFonts w:cs="Miriam" w:hint="eastAsia"/>
          <w:b/>
          <w:spacing w:val="0"/>
          <w:szCs w:val="24"/>
          <w:rtl/>
        </w:rPr>
        <w:t>יחס</w:t>
      </w:r>
      <w:r w:rsidRPr="00643EF4">
        <w:rPr>
          <w:rFonts w:cs="Miriam"/>
          <w:b/>
          <w:spacing w:val="0"/>
          <w:szCs w:val="24"/>
          <w:rtl/>
        </w:rPr>
        <w:t xml:space="preserve"> </w:t>
      </w:r>
      <w:r w:rsidRPr="00643EF4">
        <w:rPr>
          <w:rFonts w:cs="Miriam" w:hint="eastAsia"/>
          <w:b/>
          <w:spacing w:val="0"/>
          <w:szCs w:val="24"/>
          <w:rtl/>
        </w:rPr>
        <w:t>מקפח</w:t>
      </w:r>
      <w:r w:rsidRPr="00643EF4">
        <w:rPr>
          <w:rtl/>
        </w:rPr>
        <w:t xml:space="preserve"> </w:t>
      </w:r>
      <w:r w:rsidRPr="00643EF4">
        <w:rPr>
          <w:rFonts w:hint="eastAsia"/>
          <w:rtl/>
        </w:rPr>
        <w:t>מהשלטון</w:t>
      </w:r>
      <w:r w:rsidRPr="00643EF4">
        <w:rPr>
          <w:rtl/>
        </w:rPr>
        <w:t>" (</w:t>
      </w:r>
      <w:r w:rsidRPr="00643EF4">
        <w:rPr>
          <w:rFonts w:hint="eastAsia"/>
          <w:rtl/>
        </w:rPr>
        <w:t>ההדגשות</w:t>
      </w:r>
      <w:r w:rsidRPr="00643EF4">
        <w:rPr>
          <w:rtl/>
        </w:rPr>
        <w:t xml:space="preserve"> </w:t>
      </w:r>
      <w:r w:rsidRPr="00643EF4">
        <w:rPr>
          <w:rFonts w:hint="eastAsia"/>
          <w:rtl/>
        </w:rPr>
        <w:t>במקור</w:t>
      </w:r>
      <w:r w:rsidRPr="00643EF4">
        <w:rPr>
          <w:rtl/>
        </w:rPr>
        <w:t xml:space="preserve">. </w:t>
      </w:r>
      <w:r w:rsidRPr="00643EF4">
        <w:rPr>
          <w:rFonts w:ascii="Century" w:hAnsi="Century" w:hint="eastAsia"/>
          <w:sz w:val="22"/>
          <w:rtl/>
        </w:rPr>
        <w:t>עניין</w:t>
      </w:r>
      <w:r w:rsidRPr="00643EF4">
        <w:rPr>
          <w:rFonts w:ascii="Century" w:hAnsi="Century"/>
          <w:sz w:val="22"/>
          <w:rtl/>
        </w:rPr>
        <w:t xml:space="preserve"> </w:t>
      </w:r>
      <w:r w:rsidRPr="00643EF4">
        <w:rPr>
          <w:rFonts w:ascii="Century" w:hAnsi="Century" w:cs="Miriam" w:hint="eastAsia"/>
          <w:b/>
          <w:spacing w:val="0"/>
          <w:sz w:val="22"/>
          <w:szCs w:val="24"/>
          <w:rtl/>
        </w:rPr>
        <w:t>נסר</w:t>
      </w:r>
      <w:r w:rsidRPr="00643EF4">
        <w:rPr>
          <w:rtl/>
        </w:rPr>
        <w:t xml:space="preserve">, </w:t>
      </w:r>
      <w:r w:rsidRPr="00643EF4">
        <w:rPr>
          <w:rFonts w:hint="eastAsia"/>
          <w:rtl/>
        </w:rPr>
        <w:t>פסקה</w:t>
      </w:r>
      <w:r w:rsidRPr="00643EF4">
        <w:rPr>
          <w:rtl/>
        </w:rPr>
        <w:t xml:space="preserve"> 46 </w:t>
      </w:r>
      <w:r w:rsidRPr="00643EF4">
        <w:rPr>
          <w:rFonts w:hint="eastAsia"/>
          <w:rtl/>
        </w:rPr>
        <w:t>לחוות</w:t>
      </w:r>
      <w:r w:rsidRPr="00643EF4">
        <w:rPr>
          <w:rtl/>
        </w:rPr>
        <w:t xml:space="preserve"> </w:t>
      </w:r>
      <w:r w:rsidRPr="00643EF4">
        <w:rPr>
          <w:rFonts w:hint="eastAsia"/>
          <w:rtl/>
        </w:rPr>
        <w:t>דעתה</w:t>
      </w:r>
      <w:r w:rsidRPr="00643EF4">
        <w:rPr>
          <w:rtl/>
        </w:rPr>
        <w:t xml:space="preserve"> </w:t>
      </w:r>
      <w:r w:rsidRPr="00643EF4">
        <w:rPr>
          <w:rFonts w:hint="eastAsia"/>
          <w:rtl/>
        </w:rPr>
        <w:t>של</w:t>
      </w:r>
      <w:r w:rsidRPr="00643EF4">
        <w:rPr>
          <w:rtl/>
        </w:rPr>
        <w:t xml:space="preserve"> </w:t>
      </w:r>
      <w:r w:rsidRPr="00643EF4">
        <w:rPr>
          <w:rFonts w:hint="eastAsia"/>
          <w:rtl/>
        </w:rPr>
        <w:t>הנשיאה</w:t>
      </w:r>
      <w:r w:rsidRPr="00643EF4">
        <w:rPr>
          <w:rtl/>
        </w:rPr>
        <w:t xml:space="preserve"> (</w:t>
      </w:r>
      <w:r w:rsidRPr="00643EF4">
        <w:rPr>
          <w:rFonts w:hint="eastAsia"/>
          <w:rtl/>
        </w:rPr>
        <w:t>בדימ</w:t>
      </w:r>
      <w:r w:rsidRPr="00643EF4">
        <w:rPr>
          <w:rtl/>
        </w:rPr>
        <w:t xml:space="preserve">') </w:t>
      </w:r>
      <w:r w:rsidRPr="00643EF4">
        <w:rPr>
          <w:rFonts w:ascii="Century" w:hAnsi="Century" w:cs="Miriam" w:hint="eastAsia"/>
          <w:b/>
          <w:spacing w:val="0"/>
          <w:sz w:val="22"/>
          <w:szCs w:val="24"/>
          <w:rtl/>
        </w:rPr>
        <w:t>ד</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ביניש</w:t>
      </w:r>
      <w:r w:rsidRPr="00643EF4">
        <w:rPr>
          <w:rtl/>
        </w:rPr>
        <w:t xml:space="preserve">). </w:t>
      </w:r>
      <w:r w:rsidRPr="00643EF4">
        <w:rPr>
          <w:rFonts w:hint="cs"/>
          <w:sz w:val="22"/>
          <w:rtl/>
        </w:rPr>
        <w:t>ה</w:t>
      </w:r>
      <w:r w:rsidRPr="00643EF4">
        <w:rPr>
          <w:rFonts w:hint="eastAsia"/>
          <w:sz w:val="22"/>
          <w:rtl/>
        </w:rPr>
        <w:t>הבחנה</w:t>
      </w:r>
      <w:r w:rsidRPr="00643EF4">
        <w:rPr>
          <w:sz w:val="22"/>
          <w:rtl/>
        </w:rPr>
        <w:t xml:space="preserve"> </w:t>
      </w:r>
      <w:r w:rsidRPr="00643EF4">
        <w:rPr>
          <w:rFonts w:hint="cs"/>
          <w:sz w:val="22"/>
          <w:rtl/>
        </w:rPr>
        <w:t>הנטענת</w:t>
      </w:r>
      <w:r w:rsidRPr="00643EF4">
        <w:rPr>
          <w:sz w:val="22"/>
          <w:rtl/>
        </w:rPr>
        <w:t xml:space="preserve"> </w:t>
      </w:r>
      <w:r w:rsidRPr="00643EF4">
        <w:rPr>
          <w:rFonts w:hint="eastAsia"/>
          <w:sz w:val="22"/>
          <w:rtl/>
        </w:rPr>
        <w:t>גוררת</w:t>
      </w:r>
      <w:r w:rsidRPr="00643EF4">
        <w:rPr>
          <w:sz w:val="22"/>
          <w:rtl/>
        </w:rPr>
        <w:t xml:space="preserve"> </w:t>
      </w:r>
      <w:r w:rsidRPr="00643EF4">
        <w:rPr>
          <w:rFonts w:hint="eastAsia"/>
          <w:rtl/>
        </w:rPr>
        <w:t>באופן</w:t>
      </w:r>
      <w:r w:rsidRPr="00643EF4">
        <w:rPr>
          <w:rtl/>
        </w:rPr>
        <w:t xml:space="preserve"> </w:t>
      </w:r>
      <w:r w:rsidRPr="00643EF4">
        <w:rPr>
          <w:rFonts w:hint="eastAsia"/>
          <w:rtl/>
        </w:rPr>
        <w:t>מובנה</w:t>
      </w:r>
      <w:r w:rsidRPr="00643EF4">
        <w:rPr>
          <w:rtl/>
        </w:rPr>
        <w:t xml:space="preserve"> </w:t>
      </w:r>
      <w:r w:rsidRPr="00643EF4">
        <w:rPr>
          <w:rFonts w:hint="eastAsia"/>
          <w:rtl/>
        </w:rPr>
        <w:t>פגיעה</w:t>
      </w:r>
      <w:r w:rsidRPr="00643EF4">
        <w:rPr>
          <w:rtl/>
        </w:rPr>
        <w:t xml:space="preserve"> </w:t>
      </w:r>
      <w:r w:rsidRPr="00643EF4">
        <w:rPr>
          <w:rFonts w:hint="eastAsia"/>
          <w:rtl/>
        </w:rPr>
        <w:t>בכבוד</w:t>
      </w:r>
      <w:r w:rsidRPr="00643EF4">
        <w:rPr>
          <w:rtl/>
        </w:rPr>
        <w:t xml:space="preserve">, </w:t>
      </w:r>
      <w:r w:rsidRPr="00643EF4">
        <w:rPr>
          <w:rFonts w:hint="eastAsia"/>
          <w:rtl/>
        </w:rPr>
        <w:t>שכן</w:t>
      </w:r>
      <w:r w:rsidRPr="00643EF4">
        <w:rPr>
          <w:rtl/>
        </w:rPr>
        <w:t xml:space="preserve"> </w:t>
      </w:r>
      <w:r w:rsidRPr="00643EF4">
        <w:rPr>
          <w:rFonts w:hint="eastAsia"/>
          <w:rtl/>
        </w:rPr>
        <w:t>היא</w:t>
      </w:r>
      <w:r w:rsidRPr="00643EF4">
        <w:rPr>
          <w:rtl/>
        </w:rPr>
        <w:t xml:space="preserve"> </w:t>
      </w:r>
      <w:r w:rsidRPr="00643EF4">
        <w:rPr>
          <w:rFonts w:hint="eastAsia"/>
          <w:rtl/>
        </w:rPr>
        <w:t>מעמידה</w:t>
      </w:r>
      <w:r w:rsidRPr="00643EF4">
        <w:rPr>
          <w:rtl/>
        </w:rPr>
        <w:t xml:space="preserve"> </w:t>
      </w:r>
      <w:r w:rsidRPr="00643EF4">
        <w:rPr>
          <w:rFonts w:hint="eastAsia"/>
          <w:rtl/>
        </w:rPr>
        <w:t>את</w:t>
      </w:r>
      <w:r w:rsidRPr="00643EF4">
        <w:rPr>
          <w:rtl/>
        </w:rPr>
        <w:t xml:space="preserve"> </w:t>
      </w:r>
      <w:r w:rsidRPr="00643EF4">
        <w:rPr>
          <w:rFonts w:hint="eastAsia"/>
          <w:rtl/>
        </w:rPr>
        <w:t>התושבים</w:t>
      </w:r>
      <w:r w:rsidRPr="00643EF4">
        <w:rPr>
          <w:rtl/>
        </w:rPr>
        <w:t xml:space="preserve"> </w:t>
      </w:r>
      <w:r w:rsidRPr="00643EF4">
        <w:rPr>
          <w:rFonts w:hint="eastAsia"/>
          <w:rtl/>
        </w:rPr>
        <w:t>הפלסטינים</w:t>
      </w:r>
      <w:r w:rsidRPr="00643EF4">
        <w:rPr>
          <w:rFonts w:hint="cs"/>
          <w:rtl/>
        </w:rPr>
        <w:t xml:space="preserve"> "בעמדה נחותה, לכאורה, ביחס לשכניהם היהודים" (</w:t>
      </w:r>
      <w:r w:rsidRPr="00643EF4">
        <w:rPr>
          <w:rFonts w:hint="eastAsia"/>
          <w:sz w:val="22"/>
          <w:rtl/>
        </w:rPr>
        <w:t>עניין</w:t>
      </w:r>
      <w:r w:rsidRPr="00643EF4">
        <w:rPr>
          <w:sz w:val="22"/>
          <w:rtl/>
        </w:rPr>
        <w:t xml:space="preserve"> </w:t>
      </w:r>
      <w:r w:rsidRPr="00643EF4">
        <w:rPr>
          <w:rFonts w:cs="Miriam" w:hint="eastAsia"/>
          <w:b/>
          <w:spacing w:val="0"/>
          <w:sz w:val="22"/>
          <w:szCs w:val="24"/>
          <w:rtl/>
        </w:rPr>
        <w:t>נסר</w:t>
      </w:r>
      <w:r w:rsidRPr="00643EF4">
        <w:rPr>
          <w:rFonts w:hint="cs"/>
          <w:rtl/>
        </w:rPr>
        <w:t xml:space="preserve">, פסקה 53 לחוות דעתה של הנשיאה (בדימ') </w:t>
      </w:r>
      <w:r w:rsidRPr="00643EF4">
        <w:rPr>
          <w:rFonts w:cs="Miriam" w:hint="eastAsia"/>
          <w:b/>
          <w:spacing w:val="0"/>
          <w:sz w:val="22"/>
          <w:szCs w:val="24"/>
          <w:rtl/>
        </w:rPr>
        <w:t>ד</w:t>
      </w:r>
      <w:r w:rsidRPr="00643EF4">
        <w:rPr>
          <w:rFonts w:cs="Miriam"/>
          <w:b/>
          <w:spacing w:val="0"/>
          <w:sz w:val="22"/>
          <w:szCs w:val="24"/>
          <w:rtl/>
        </w:rPr>
        <w:t xml:space="preserve">' </w:t>
      </w:r>
      <w:r w:rsidRPr="00643EF4">
        <w:rPr>
          <w:rFonts w:cs="Miriam" w:hint="eastAsia"/>
          <w:b/>
          <w:spacing w:val="0"/>
          <w:sz w:val="22"/>
          <w:szCs w:val="24"/>
          <w:rtl/>
        </w:rPr>
        <w:t>ביניש</w:t>
      </w:r>
      <w:r w:rsidRPr="00643EF4">
        <w:rPr>
          <w:rFonts w:hint="cs"/>
          <w:rtl/>
        </w:rPr>
        <w:t xml:space="preserve">). וביתר שאת בהינתן העובדה כי מדובר ב"תושבים מוגנים" על פי הדין הבינלאומי הנתונים "בעמדת כוח נחותה באופן אינהרנטי מזו של המתיישבים הישראלים באזור, שהם אזרחים מלאים ושווי זכויות של מדינת ישראל" (עניין </w:t>
      </w:r>
      <w:r w:rsidRPr="00643EF4">
        <w:rPr>
          <w:rFonts w:cs="Miriam" w:hint="eastAsia"/>
          <w:b/>
          <w:spacing w:val="0"/>
          <w:sz w:val="22"/>
          <w:szCs w:val="24"/>
          <w:rtl/>
        </w:rPr>
        <w:t>זיאדה</w:t>
      </w:r>
      <w:r w:rsidRPr="00643EF4">
        <w:rPr>
          <w:sz w:val="22"/>
          <w:rtl/>
        </w:rPr>
        <w:t xml:space="preserve">, </w:t>
      </w:r>
      <w:r w:rsidRPr="00643EF4">
        <w:rPr>
          <w:rFonts w:hint="eastAsia"/>
          <w:sz w:val="22"/>
          <w:rtl/>
        </w:rPr>
        <w:t>בפסקה</w:t>
      </w:r>
      <w:r w:rsidRPr="00643EF4">
        <w:rPr>
          <w:sz w:val="22"/>
          <w:rtl/>
        </w:rPr>
        <w:t xml:space="preserve"> 116 </w:t>
      </w:r>
      <w:r w:rsidRPr="00643EF4">
        <w:rPr>
          <w:rFonts w:hint="eastAsia"/>
          <w:sz w:val="22"/>
          <w:rtl/>
        </w:rPr>
        <w:t>לחוות</w:t>
      </w:r>
      <w:r w:rsidRPr="00643EF4">
        <w:rPr>
          <w:sz w:val="22"/>
          <w:rtl/>
        </w:rPr>
        <w:t xml:space="preserve"> </w:t>
      </w:r>
      <w:r w:rsidRPr="00643EF4">
        <w:rPr>
          <w:rFonts w:hint="eastAsia"/>
          <w:sz w:val="22"/>
          <w:rtl/>
        </w:rPr>
        <w:t>דעתו</w:t>
      </w:r>
      <w:r w:rsidRPr="00643EF4">
        <w:rPr>
          <w:sz w:val="22"/>
          <w:rtl/>
        </w:rPr>
        <w:t xml:space="preserve"> </w:t>
      </w:r>
      <w:r w:rsidRPr="00643EF4">
        <w:rPr>
          <w:rFonts w:hint="eastAsia"/>
          <w:sz w:val="22"/>
          <w:rtl/>
        </w:rPr>
        <w:t>של</w:t>
      </w:r>
      <w:r w:rsidRPr="00643EF4">
        <w:rPr>
          <w:sz w:val="22"/>
          <w:rtl/>
        </w:rPr>
        <w:t xml:space="preserve"> </w:t>
      </w:r>
      <w:r w:rsidRPr="00643EF4">
        <w:rPr>
          <w:rFonts w:hint="eastAsia"/>
          <w:sz w:val="22"/>
          <w:rtl/>
        </w:rPr>
        <w:t>המשנה</w:t>
      </w:r>
      <w:r w:rsidRPr="00643EF4">
        <w:rPr>
          <w:sz w:val="22"/>
          <w:rtl/>
        </w:rPr>
        <w:t xml:space="preserve"> </w:t>
      </w:r>
      <w:r w:rsidRPr="00643EF4">
        <w:rPr>
          <w:rFonts w:hint="eastAsia"/>
          <w:sz w:val="22"/>
          <w:rtl/>
        </w:rPr>
        <w:t>לנשיאה</w:t>
      </w:r>
      <w:r w:rsidRPr="00643EF4">
        <w:rPr>
          <w:sz w:val="22"/>
          <w:rtl/>
        </w:rPr>
        <w:t xml:space="preserve"> (</w:t>
      </w:r>
      <w:r w:rsidRPr="00643EF4">
        <w:rPr>
          <w:rFonts w:hint="eastAsia"/>
          <w:sz w:val="22"/>
          <w:rtl/>
        </w:rPr>
        <w:t>בדימ</w:t>
      </w:r>
      <w:r w:rsidRPr="00643EF4">
        <w:rPr>
          <w:sz w:val="22"/>
          <w:rtl/>
        </w:rPr>
        <w:t xml:space="preserve">') </w:t>
      </w:r>
      <w:r w:rsidRPr="00643EF4">
        <w:rPr>
          <w:rFonts w:cs="Miriam" w:hint="eastAsia"/>
          <w:b/>
          <w:spacing w:val="0"/>
          <w:sz w:val="22"/>
          <w:szCs w:val="24"/>
          <w:rtl/>
        </w:rPr>
        <w:t>ס</w:t>
      </w:r>
      <w:r w:rsidRPr="00643EF4">
        <w:rPr>
          <w:rFonts w:cs="Miriam"/>
          <w:b/>
          <w:spacing w:val="0"/>
          <w:sz w:val="22"/>
          <w:szCs w:val="24"/>
          <w:rtl/>
        </w:rPr>
        <w:t xml:space="preserve">' </w:t>
      </w:r>
      <w:r w:rsidRPr="00643EF4">
        <w:rPr>
          <w:rFonts w:cs="Miriam" w:hint="eastAsia"/>
          <w:b/>
          <w:spacing w:val="0"/>
          <w:sz w:val="22"/>
          <w:szCs w:val="24"/>
          <w:rtl/>
        </w:rPr>
        <w:t>ג</w:t>
      </w:r>
      <w:r w:rsidRPr="00643EF4">
        <w:rPr>
          <w:rFonts w:cs="Miriam"/>
          <w:b/>
          <w:spacing w:val="0"/>
          <w:sz w:val="22"/>
          <w:szCs w:val="24"/>
          <w:rtl/>
        </w:rPr>
        <w:t>'</w:t>
      </w:r>
      <w:r w:rsidRPr="00643EF4">
        <w:rPr>
          <w:rFonts w:cs="Miriam" w:hint="eastAsia"/>
          <w:b/>
          <w:spacing w:val="0"/>
          <w:sz w:val="22"/>
          <w:szCs w:val="24"/>
          <w:rtl/>
        </w:rPr>
        <w:t>ובראן</w:t>
      </w:r>
      <w:r w:rsidRPr="00643EF4">
        <w:rPr>
          <w:sz w:val="22"/>
          <w:rtl/>
        </w:rPr>
        <w:t>).</w:t>
      </w:r>
      <w:r w:rsidRPr="00643EF4">
        <w:rPr>
          <w:rFonts w:hint="cs"/>
          <w:rtl/>
        </w:rPr>
        <w:t xml:space="preserve"> </w:t>
      </w:r>
      <w:r w:rsidRPr="00643EF4">
        <w:rPr>
          <w:rtl/>
        </w:rPr>
        <w:t>ככל ש</w:t>
      </w:r>
      <w:r w:rsidRPr="00643EF4">
        <w:rPr>
          <w:rFonts w:hint="cs"/>
          <w:rtl/>
        </w:rPr>
        <w:t xml:space="preserve">חוק ההסדרה </w:t>
      </w:r>
      <w:r w:rsidRPr="00643EF4">
        <w:rPr>
          <w:rtl/>
        </w:rPr>
        <w:t>מבקש להכשיר בדיעבד בנ</w:t>
      </w:r>
      <w:r w:rsidRPr="00643EF4">
        <w:rPr>
          <w:rFonts w:hint="cs"/>
          <w:rtl/>
        </w:rPr>
        <w:t>י</w:t>
      </w:r>
      <w:r w:rsidRPr="00643EF4">
        <w:rPr>
          <w:rtl/>
        </w:rPr>
        <w:t>יה בלתי חוקית</w:t>
      </w:r>
      <w:r w:rsidRPr="00643EF4">
        <w:rPr>
          <w:rFonts w:hint="cs"/>
          <w:rtl/>
        </w:rPr>
        <w:t xml:space="preserve">, ניתן היה להתמודד עם </w:t>
      </w:r>
      <w:r w:rsidR="00A41463" w:rsidRPr="00643EF4">
        <w:rPr>
          <w:rFonts w:hint="cs"/>
          <w:rtl/>
        </w:rPr>
        <w:t>הפגיעה בשיוויון</w:t>
      </w:r>
      <w:r w:rsidRPr="00643EF4">
        <w:rPr>
          <w:rFonts w:hint="cs"/>
          <w:rtl/>
        </w:rPr>
        <w:t xml:space="preserve"> באמצעות מתן </w:t>
      </w:r>
      <w:r w:rsidRPr="00643EF4">
        <w:rPr>
          <w:rtl/>
        </w:rPr>
        <w:t>מענה</w:t>
      </w:r>
      <w:r w:rsidRPr="00643EF4">
        <w:rPr>
          <w:rFonts w:hint="cs"/>
          <w:rtl/>
        </w:rPr>
        <w:t xml:space="preserve"> דומה ושיוויוני גם </w:t>
      </w:r>
      <w:r w:rsidRPr="00643EF4">
        <w:rPr>
          <w:rtl/>
        </w:rPr>
        <w:t xml:space="preserve">לאותם תושבים </w:t>
      </w:r>
      <w:r w:rsidRPr="00643EF4">
        <w:rPr>
          <w:rFonts w:hint="cs"/>
          <w:rtl/>
        </w:rPr>
        <w:t xml:space="preserve">פלסטינים </w:t>
      </w:r>
      <w:r w:rsidRPr="00643EF4">
        <w:rPr>
          <w:rtl/>
        </w:rPr>
        <w:t xml:space="preserve">אשר בנו את בתיהם באופן </w:t>
      </w:r>
      <w:r w:rsidRPr="00643EF4">
        <w:rPr>
          <w:rFonts w:hint="cs"/>
          <w:rtl/>
        </w:rPr>
        <w:t xml:space="preserve">בלתי חוקי, תוך הסדרה תכנונית הולמת ועדכנית המביאה בחשבון את הגידול שחל באוכלוסייה זו ואת צרכיה המשתנים. בהקשר זה לא למותר לציין כי </w:t>
      </w:r>
      <w:r w:rsidRPr="00643EF4">
        <w:rPr>
          <w:rtl/>
        </w:rPr>
        <w:t>מערכת דיני התכנון והבנ</w:t>
      </w:r>
      <w:r w:rsidRPr="00643EF4">
        <w:rPr>
          <w:rFonts w:hint="cs"/>
          <w:rtl/>
        </w:rPr>
        <w:t>י</w:t>
      </w:r>
      <w:r w:rsidRPr="00643EF4">
        <w:rPr>
          <w:rtl/>
        </w:rPr>
        <w:t xml:space="preserve">יה </w:t>
      </w:r>
      <w:r w:rsidRPr="00643EF4">
        <w:rPr>
          <w:rFonts w:hint="cs"/>
          <w:rtl/>
        </w:rPr>
        <w:t>אמורה לפעול</w:t>
      </w:r>
      <w:r w:rsidRPr="00643EF4">
        <w:rPr>
          <w:rtl/>
        </w:rPr>
        <w:t xml:space="preserve"> במטרה "להבטיח בניה ופיתוח נאותים בהווה ובמבט צופה פני עתיד" (בג"ץ </w:t>
      </w:r>
      <w:r w:rsidRPr="00643EF4">
        <w:rPr>
          <w:rFonts w:hint="cs"/>
          <w:rtl/>
        </w:rPr>
        <w:t>5377</w:t>
      </w:r>
      <w:r w:rsidRPr="00643EF4">
        <w:rPr>
          <w:rtl/>
        </w:rPr>
        <w:t>/</w:t>
      </w:r>
      <w:r w:rsidRPr="00643EF4">
        <w:rPr>
          <w:rFonts w:hint="cs"/>
          <w:rtl/>
        </w:rPr>
        <w:t>09</w:t>
      </w:r>
      <w:r w:rsidRPr="00643EF4">
        <w:rPr>
          <w:rtl/>
        </w:rPr>
        <w:t xml:space="preserve"> </w:t>
      </w:r>
      <w:r w:rsidRPr="00643EF4">
        <w:rPr>
          <w:rFonts w:ascii="Century" w:hAnsi="Century" w:cs="Miriam" w:hint="eastAsia"/>
          <w:b/>
          <w:spacing w:val="0"/>
          <w:sz w:val="22"/>
          <w:szCs w:val="24"/>
          <w:rtl/>
        </w:rPr>
        <w:t>רגבים</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נ</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שר</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הביטחון</w:t>
      </w:r>
      <w:r w:rsidRPr="00643EF4">
        <w:rPr>
          <w:rtl/>
        </w:rPr>
        <w:t>, פסקה</w:t>
      </w:r>
      <w:r w:rsidRPr="00643EF4">
        <w:rPr>
          <w:rFonts w:hint="cs"/>
          <w:rtl/>
        </w:rPr>
        <w:t xml:space="preserve"> יב (10.8.2011) </w:t>
      </w:r>
      <w:r w:rsidRPr="00643EF4">
        <w:rPr>
          <w:rtl/>
        </w:rPr>
        <w:t>(</w:t>
      </w:r>
      <w:r w:rsidRPr="00643EF4">
        <w:rPr>
          <w:rFonts w:hint="eastAsia"/>
          <w:rtl/>
        </w:rPr>
        <w:t>להלן</w:t>
      </w:r>
      <w:r w:rsidRPr="00643EF4">
        <w:rPr>
          <w:rtl/>
        </w:rPr>
        <w:t xml:space="preserve">: </w:t>
      </w:r>
      <w:r w:rsidRPr="00643EF4">
        <w:rPr>
          <w:rFonts w:ascii="Century" w:hAnsi="Century" w:hint="cs"/>
          <w:sz w:val="22"/>
          <w:rtl/>
        </w:rPr>
        <w:t xml:space="preserve">עניין </w:t>
      </w:r>
      <w:r w:rsidRPr="00643EF4">
        <w:rPr>
          <w:rFonts w:ascii="Century" w:hAnsi="Century" w:cs="Miriam" w:hint="cs"/>
          <w:b/>
          <w:spacing w:val="0"/>
          <w:sz w:val="22"/>
          <w:szCs w:val="24"/>
          <w:rtl/>
        </w:rPr>
        <w:t>רגבים</w:t>
      </w:r>
      <w:r w:rsidRPr="00643EF4">
        <w:rPr>
          <w:rFonts w:hint="cs"/>
          <w:rtl/>
        </w:rPr>
        <w:t xml:space="preserve">)), וכי על המפקד הצבאי מוטלת החובה לפעול לרווחתה של האוכלוסייה הפלסטינית גם בהיבט זה. </w:t>
      </w:r>
    </w:p>
    <w:p w14:paraId="4D6B0732" w14:textId="77777777" w:rsidR="000E5D20" w:rsidRPr="00643EF4" w:rsidRDefault="000E5D20" w:rsidP="000E5D20">
      <w:pPr>
        <w:pStyle w:val="Ruller4"/>
        <w:numPr>
          <w:ilvl w:val="0"/>
          <w:numId w:val="0"/>
        </w:numPr>
        <w:rPr>
          <w:rtl/>
        </w:rPr>
      </w:pPr>
    </w:p>
    <w:p w14:paraId="1DFFF164" w14:textId="5FA81669" w:rsidR="000E5D20" w:rsidRPr="00643EF4" w:rsidRDefault="000E5D20" w:rsidP="008241BF">
      <w:pPr>
        <w:pStyle w:val="Ruller4"/>
        <w:tabs>
          <w:tab w:val="num" w:pos="10307"/>
        </w:tabs>
      </w:pPr>
      <w:r w:rsidRPr="00643EF4">
        <w:rPr>
          <w:rtl/>
        </w:rPr>
        <w:lastRenderedPageBreak/>
        <w:tab/>
      </w:r>
      <w:r w:rsidRPr="00643EF4">
        <w:rPr>
          <w:rFonts w:hint="eastAsia"/>
          <w:rtl/>
        </w:rPr>
        <w:t>הנה</w:t>
      </w:r>
      <w:r w:rsidRPr="00643EF4">
        <w:rPr>
          <w:rtl/>
        </w:rPr>
        <w:t xml:space="preserve"> </w:t>
      </w:r>
      <w:r w:rsidRPr="00643EF4">
        <w:rPr>
          <w:rFonts w:hint="eastAsia"/>
          <w:rtl/>
        </w:rPr>
        <w:t>כי</w:t>
      </w:r>
      <w:r w:rsidRPr="00643EF4">
        <w:rPr>
          <w:rtl/>
        </w:rPr>
        <w:t xml:space="preserve"> </w:t>
      </w:r>
      <w:r w:rsidRPr="00643EF4">
        <w:rPr>
          <w:rFonts w:hint="eastAsia"/>
          <w:rtl/>
        </w:rPr>
        <w:t>כן</w:t>
      </w:r>
      <w:r w:rsidRPr="00643EF4">
        <w:rPr>
          <w:rtl/>
        </w:rPr>
        <w:t xml:space="preserve">, </w:t>
      </w:r>
      <w:r w:rsidRPr="00643EF4">
        <w:rPr>
          <w:rFonts w:hint="cs"/>
          <w:rtl/>
        </w:rPr>
        <w:t xml:space="preserve">למצער </w:t>
      </w:r>
      <w:r w:rsidRPr="00643EF4">
        <w:rPr>
          <w:rFonts w:hint="eastAsia"/>
          <w:rtl/>
        </w:rPr>
        <w:t>מבחינ</w:t>
      </w:r>
      <w:r w:rsidRPr="00643EF4">
        <w:rPr>
          <w:rFonts w:hint="cs"/>
          <w:rtl/>
        </w:rPr>
        <w:t>ת</w:t>
      </w:r>
      <w:r w:rsidRPr="00643EF4">
        <w:rPr>
          <w:rtl/>
        </w:rPr>
        <w:t xml:space="preserve"> </w:t>
      </w:r>
      <w:r w:rsidRPr="00643EF4">
        <w:rPr>
          <w:rFonts w:hint="cs"/>
          <w:rtl/>
        </w:rPr>
        <w:t>התוצאה</w:t>
      </w:r>
      <w:r w:rsidRPr="00643EF4">
        <w:rPr>
          <w:rtl/>
        </w:rPr>
        <w:t xml:space="preserve"> </w:t>
      </w:r>
      <w:r w:rsidRPr="00643EF4">
        <w:rPr>
          <w:rFonts w:hint="cs"/>
          <w:rtl/>
        </w:rPr>
        <w:t xml:space="preserve">מתקיימת אפליה </w:t>
      </w:r>
      <w:r w:rsidRPr="00643EF4">
        <w:rPr>
          <w:rFonts w:hint="eastAsia"/>
          <w:rtl/>
        </w:rPr>
        <w:t>בין</w:t>
      </w:r>
      <w:r w:rsidRPr="00643EF4">
        <w:rPr>
          <w:rtl/>
        </w:rPr>
        <w:t xml:space="preserve"> </w:t>
      </w:r>
      <w:r w:rsidRPr="00643EF4">
        <w:rPr>
          <w:rFonts w:hint="eastAsia"/>
          <w:rtl/>
        </w:rPr>
        <w:t>תושבי</w:t>
      </w:r>
      <w:r w:rsidRPr="00643EF4">
        <w:rPr>
          <w:rtl/>
        </w:rPr>
        <w:t xml:space="preserve"> </w:t>
      </w:r>
      <w:r w:rsidRPr="00643EF4">
        <w:rPr>
          <w:rFonts w:hint="eastAsia"/>
          <w:rtl/>
        </w:rPr>
        <w:t>האזור</w:t>
      </w:r>
      <w:r w:rsidRPr="00643EF4">
        <w:rPr>
          <w:rtl/>
        </w:rPr>
        <w:t xml:space="preserve"> </w:t>
      </w:r>
      <w:r w:rsidRPr="00643EF4">
        <w:rPr>
          <w:rFonts w:hint="eastAsia"/>
          <w:rtl/>
        </w:rPr>
        <w:t>הישראלים</w:t>
      </w:r>
      <w:r w:rsidRPr="00643EF4">
        <w:rPr>
          <w:rtl/>
        </w:rPr>
        <w:t xml:space="preserve"> </w:t>
      </w:r>
      <w:r w:rsidR="008241BF" w:rsidRPr="00643EF4">
        <w:rPr>
          <w:rFonts w:hint="cs"/>
          <w:rtl/>
        </w:rPr>
        <w:t>לתושבים</w:t>
      </w:r>
      <w:r w:rsidRPr="00643EF4">
        <w:rPr>
          <w:rtl/>
        </w:rPr>
        <w:t xml:space="preserve"> </w:t>
      </w:r>
      <w:r w:rsidR="008241BF" w:rsidRPr="00643EF4">
        <w:rPr>
          <w:rFonts w:hint="cs"/>
          <w:rtl/>
        </w:rPr>
        <w:t>ה</w:t>
      </w:r>
      <w:r w:rsidRPr="00643EF4">
        <w:rPr>
          <w:rFonts w:hint="eastAsia"/>
          <w:rtl/>
        </w:rPr>
        <w:t>פלסטינים בכל</w:t>
      </w:r>
      <w:r w:rsidRPr="00643EF4">
        <w:rPr>
          <w:rtl/>
        </w:rPr>
        <w:t xml:space="preserve"> </w:t>
      </w:r>
      <w:r w:rsidRPr="00643EF4">
        <w:rPr>
          <w:rFonts w:hint="eastAsia"/>
          <w:rtl/>
        </w:rPr>
        <w:t>הנוגע</w:t>
      </w:r>
      <w:r w:rsidRPr="00643EF4">
        <w:rPr>
          <w:rtl/>
        </w:rPr>
        <w:t xml:space="preserve"> </w:t>
      </w:r>
      <w:r w:rsidRPr="00643EF4">
        <w:rPr>
          <w:rFonts w:ascii="Century" w:hAnsi="Century" w:cs="Miriam" w:hint="eastAsia"/>
          <w:b/>
          <w:spacing w:val="0"/>
          <w:sz w:val="22"/>
          <w:szCs w:val="24"/>
          <w:rtl/>
        </w:rPr>
        <w:t>להסדרת</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הבנייה</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הבלתי</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חוקית</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באזור</w:t>
      </w:r>
      <w:r w:rsidRPr="00643EF4">
        <w:rPr>
          <w:rFonts w:hint="cs"/>
          <w:rtl/>
        </w:rPr>
        <w:t xml:space="preserve">, </w:t>
      </w:r>
      <w:r w:rsidRPr="00643EF4">
        <w:rPr>
          <w:rFonts w:hint="eastAsia"/>
          <w:rtl/>
        </w:rPr>
        <w:t>מבלי</w:t>
      </w:r>
      <w:r w:rsidRPr="00643EF4">
        <w:rPr>
          <w:rtl/>
        </w:rPr>
        <w:t xml:space="preserve"> </w:t>
      </w:r>
      <w:r w:rsidRPr="00643EF4">
        <w:rPr>
          <w:rFonts w:hint="eastAsia"/>
          <w:rtl/>
        </w:rPr>
        <w:t>שניתן</w:t>
      </w:r>
      <w:r w:rsidRPr="00643EF4">
        <w:rPr>
          <w:rtl/>
        </w:rPr>
        <w:t xml:space="preserve"> </w:t>
      </w:r>
      <w:r w:rsidRPr="00643EF4">
        <w:rPr>
          <w:rFonts w:hint="eastAsia"/>
          <w:rtl/>
        </w:rPr>
        <w:t>להצביע</w:t>
      </w:r>
      <w:r w:rsidRPr="00643EF4">
        <w:rPr>
          <w:rtl/>
        </w:rPr>
        <w:t xml:space="preserve"> </w:t>
      </w:r>
      <w:r w:rsidRPr="00643EF4">
        <w:rPr>
          <w:rFonts w:hint="eastAsia"/>
          <w:rtl/>
        </w:rPr>
        <w:t>על</w:t>
      </w:r>
      <w:r w:rsidRPr="00643EF4">
        <w:rPr>
          <w:rtl/>
        </w:rPr>
        <w:t xml:space="preserve"> </w:t>
      </w:r>
      <w:r w:rsidRPr="00643EF4">
        <w:rPr>
          <w:rFonts w:hint="eastAsia"/>
          <w:rtl/>
        </w:rPr>
        <w:t>שוני</w:t>
      </w:r>
      <w:r w:rsidRPr="00643EF4">
        <w:rPr>
          <w:rtl/>
        </w:rPr>
        <w:t xml:space="preserve"> </w:t>
      </w:r>
      <w:r w:rsidRPr="00643EF4">
        <w:rPr>
          <w:rFonts w:hint="eastAsia"/>
          <w:rtl/>
        </w:rPr>
        <w:t>רלוונטי</w:t>
      </w:r>
      <w:r w:rsidRPr="00643EF4">
        <w:rPr>
          <w:rFonts w:hint="cs"/>
          <w:rtl/>
        </w:rPr>
        <w:t xml:space="preserve"> בהקשר זה</w:t>
      </w:r>
      <w:r w:rsidRPr="00643EF4">
        <w:rPr>
          <w:rtl/>
        </w:rPr>
        <w:t xml:space="preserve"> </w:t>
      </w:r>
      <w:r w:rsidRPr="00643EF4">
        <w:rPr>
          <w:rFonts w:hint="eastAsia"/>
          <w:rtl/>
        </w:rPr>
        <w:t>בין</w:t>
      </w:r>
      <w:r w:rsidRPr="00643EF4">
        <w:rPr>
          <w:rtl/>
        </w:rPr>
        <w:t xml:space="preserve"> </w:t>
      </w:r>
      <w:r w:rsidRPr="00643EF4">
        <w:rPr>
          <w:rFonts w:hint="eastAsia"/>
          <w:rtl/>
        </w:rPr>
        <w:t>האוכלוסיות</w:t>
      </w:r>
      <w:r w:rsidRPr="00643EF4">
        <w:rPr>
          <w:rtl/>
        </w:rPr>
        <w:t xml:space="preserve"> </w:t>
      </w:r>
      <w:r w:rsidRPr="00643EF4">
        <w:rPr>
          <w:rFonts w:hint="eastAsia"/>
          <w:rtl/>
        </w:rPr>
        <w:t>המתגוררות</w:t>
      </w:r>
      <w:r w:rsidRPr="00643EF4">
        <w:rPr>
          <w:rtl/>
        </w:rPr>
        <w:t xml:space="preserve"> </w:t>
      </w:r>
      <w:r w:rsidRPr="00643EF4">
        <w:rPr>
          <w:rFonts w:hint="eastAsia"/>
          <w:rtl/>
        </w:rPr>
        <w:t>בישובים</w:t>
      </w:r>
      <w:r w:rsidRPr="00643EF4">
        <w:rPr>
          <w:rtl/>
        </w:rPr>
        <w:t xml:space="preserve"> </w:t>
      </w:r>
      <w:r w:rsidRPr="00643EF4">
        <w:rPr>
          <w:rFonts w:hint="eastAsia"/>
          <w:rtl/>
        </w:rPr>
        <w:t>אלה</w:t>
      </w:r>
      <w:r w:rsidRPr="00643EF4">
        <w:rPr>
          <w:rtl/>
        </w:rPr>
        <w:t xml:space="preserve">. </w:t>
      </w:r>
      <w:r w:rsidRPr="00643EF4">
        <w:rPr>
          <w:rFonts w:hint="eastAsia"/>
          <w:rtl/>
        </w:rPr>
        <w:t>על</w:t>
      </w:r>
      <w:r w:rsidRPr="00643EF4">
        <w:rPr>
          <w:rtl/>
        </w:rPr>
        <w:t xml:space="preserve"> </w:t>
      </w:r>
      <w:r w:rsidRPr="00643EF4">
        <w:rPr>
          <w:rFonts w:hint="eastAsia"/>
          <w:rtl/>
        </w:rPr>
        <w:t>כן</w:t>
      </w:r>
      <w:r w:rsidRPr="00643EF4">
        <w:rPr>
          <w:rtl/>
        </w:rPr>
        <w:t xml:space="preserve">, </w:t>
      </w:r>
      <w:r w:rsidRPr="00643EF4">
        <w:rPr>
          <w:rFonts w:hint="eastAsia"/>
          <w:rtl/>
        </w:rPr>
        <w:t>ניתן</w:t>
      </w:r>
      <w:r w:rsidRPr="00643EF4">
        <w:rPr>
          <w:rtl/>
        </w:rPr>
        <w:t xml:space="preserve"> </w:t>
      </w:r>
      <w:r w:rsidRPr="00643EF4">
        <w:rPr>
          <w:rFonts w:hint="eastAsia"/>
          <w:rtl/>
        </w:rPr>
        <w:t>לקבוע</w:t>
      </w:r>
      <w:r w:rsidRPr="00643EF4">
        <w:rPr>
          <w:rtl/>
        </w:rPr>
        <w:t xml:space="preserve"> </w:t>
      </w:r>
      <w:r w:rsidRPr="00643EF4">
        <w:rPr>
          <w:rFonts w:hint="eastAsia"/>
          <w:rtl/>
        </w:rPr>
        <w:t>כי</w:t>
      </w:r>
      <w:r w:rsidRPr="00643EF4">
        <w:rPr>
          <w:rtl/>
        </w:rPr>
        <w:t xml:space="preserve"> </w:t>
      </w:r>
      <w:r w:rsidRPr="00643EF4">
        <w:rPr>
          <w:rFonts w:hint="eastAsia"/>
          <w:rtl/>
        </w:rPr>
        <w:t>חוק</w:t>
      </w:r>
      <w:r w:rsidRPr="00643EF4">
        <w:rPr>
          <w:rtl/>
        </w:rPr>
        <w:t xml:space="preserve"> </w:t>
      </w:r>
      <w:r w:rsidRPr="00643EF4">
        <w:rPr>
          <w:rFonts w:hint="eastAsia"/>
          <w:rtl/>
        </w:rPr>
        <w:t>ההסדרה</w:t>
      </w:r>
      <w:r w:rsidRPr="00643EF4">
        <w:rPr>
          <w:rtl/>
        </w:rPr>
        <w:t xml:space="preserve"> </w:t>
      </w:r>
      <w:r w:rsidRPr="00643EF4">
        <w:rPr>
          <w:rFonts w:hint="eastAsia"/>
          <w:rtl/>
        </w:rPr>
        <w:t>פוגע</w:t>
      </w:r>
      <w:r w:rsidRPr="00643EF4">
        <w:rPr>
          <w:rtl/>
        </w:rPr>
        <w:t xml:space="preserve"> </w:t>
      </w:r>
      <w:r w:rsidRPr="00643EF4">
        <w:rPr>
          <w:rFonts w:hint="eastAsia"/>
          <w:rtl/>
        </w:rPr>
        <w:t>בזכות</w:t>
      </w:r>
      <w:r w:rsidRPr="00643EF4">
        <w:rPr>
          <w:rtl/>
        </w:rPr>
        <w:t xml:space="preserve"> </w:t>
      </w:r>
      <w:r w:rsidRPr="00643EF4">
        <w:rPr>
          <w:rFonts w:hint="eastAsia"/>
          <w:rtl/>
        </w:rPr>
        <w:t>החוקתית</w:t>
      </w:r>
      <w:r w:rsidRPr="00643EF4">
        <w:rPr>
          <w:rtl/>
        </w:rPr>
        <w:t xml:space="preserve"> </w:t>
      </w:r>
      <w:r w:rsidRPr="00643EF4">
        <w:rPr>
          <w:rFonts w:hint="eastAsia"/>
          <w:rtl/>
        </w:rPr>
        <w:t>לשוויון</w:t>
      </w:r>
      <w:r w:rsidRPr="00643EF4">
        <w:rPr>
          <w:rtl/>
        </w:rPr>
        <w:t xml:space="preserve"> </w:t>
      </w:r>
      <w:r w:rsidRPr="00643EF4">
        <w:rPr>
          <w:rFonts w:hint="eastAsia"/>
          <w:rtl/>
        </w:rPr>
        <w:t>ולכבוד</w:t>
      </w:r>
      <w:r w:rsidRPr="00643EF4">
        <w:rPr>
          <w:rtl/>
        </w:rPr>
        <w:t xml:space="preserve"> </w:t>
      </w:r>
      <w:r w:rsidRPr="00643EF4">
        <w:rPr>
          <w:rFonts w:hint="eastAsia"/>
          <w:rtl/>
        </w:rPr>
        <w:t>של</w:t>
      </w:r>
      <w:r w:rsidRPr="00643EF4">
        <w:rPr>
          <w:rtl/>
        </w:rPr>
        <w:t xml:space="preserve"> </w:t>
      </w:r>
      <w:r w:rsidRPr="00643EF4">
        <w:rPr>
          <w:rFonts w:hint="eastAsia"/>
          <w:rtl/>
        </w:rPr>
        <w:t>תושבי</w:t>
      </w:r>
      <w:r w:rsidRPr="00643EF4">
        <w:rPr>
          <w:rtl/>
        </w:rPr>
        <w:t xml:space="preserve"> </w:t>
      </w:r>
      <w:r w:rsidRPr="00643EF4">
        <w:rPr>
          <w:rFonts w:hint="eastAsia"/>
          <w:rtl/>
        </w:rPr>
        <w:t>האזור</w:t>
      </w:r>
      <w:r w:rsidRPr="00643EF4">
        <w:rPr>
          <w:rtl/>
        </w:rPr>
        <w:t xml:space="preserve"> </w:t>
      </w:r>
      <w:r w:rsidRPr="00643EF4">
        <w:rPr>
          <w:rFonts w:hint="eastAsia"/>
          <w:rtl/>
        </w:rPr>
        <w:t>הפלסטינים</w:t>
      </w:r>
      <w:r w:rsidRPr="00643EF4">
        <w:rPr>
          <w:rtl/>
        </w:rPr>
        <w:t>.</w:t>
      </w:r>
    </w:p>
    <w:p w14:paraId="7EDC5633" w14:textId="77777777" w:rsidR="000E5D20" w:rsidRPr="00643EF4" w:rsidRDefault="000E5D20" w:rsidP="000E5D20">
      <w:pPr>
        <w:pStyle w:val="Ruller4"/>
        <w:numPr>
          <w:ilvl w:val="0"/>
          <w:numId w:val="0"/>
        </w:numPr>
        <w:rPr>
          <w:rFonts w:ascii="Century" w:hAnsi="Century" w:cs="Miriam"/>
          <w:b/>
          <w:spacing w:val="0"/>
          <w:szCs w:val="24"/>
          <w:rtl/>
        </w:rPr>
      </w:pPr>
    </w:p>
    <w:p w14:paraId="65E3F0AA"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מבחני פסקת ההגבלה</w:t>
      </w:r>
    </w:p>
    <w:p w14:paraId="7494999F" w14:textId="77777777" w:rsidR="000E5D20" w:rsidRPr="00643EF4" w:rsidRDefault="000E5D20" w:rsidP="000E5D20">
      <w:pPr>
        <w:pStyle w:val="Ruller41"/>
        <w:rPr>
          <w:rFonts w:ascii="Century" w:hAnsi="Century" w:cs="Miriam"/>
          <w:b/>
          <w:spacing w:val="0"/>
          <w:szCs w:val="24"/>
        </w:rPr>
      </w:pPr>
    </w:p>
    <w:p w14:paraId="03D6703C" w14:textId="77777777" w:rsidR="000E5D20" w:rsidRPr="00643EF4" w:rsidRDefault="000E5D20" w:rsidP="000E5D20">
      <w:pPr>
        <w:pStyle w:val="Ruller4"/>
        <w:tabs>
          <w:tab w:val="num" w:pos="10307"/>
        </w:tabs>
        <w:rPr>
          <w:rtl/>
        </w:rPr>
      </w:pPr>
      <w:r w:rsidRPr="00643EF4">
        <w:rPr>
          <w:rFonts w:hint="cs"/>
          <w:rtl/>
        </w:rPr>
        <w:t xml:space="preserve">נוכח המסקנה כי חוק ההסדרה פוגע בזכויות חוקתיות לקניין, לשוויון ולכבוד יש להוסיף ולבחון האם החוק הפוגע מקיים את דרישות פסקת ההגבלה. זאת בהינתן התפיסה החוקתית הנוהגת עמנו לפיה לא כל פגיעה בזכויות יסוד היא אסורה, וזכויות האדם המוגנות בחוק היסוד הן יחסיות וניתן להגבילן למען מטרות ראויות </w:t>
      </w:r>
      <w:r w:rsidRPr="00643EF4">
        <w:rPr>
          <w:rFonts w:ascii="Century" w:hAnsi="Century" w:hint="cs"/>
          <w:sz w:val="22"/>
          <w:rtl/>
        </w:rPr>
        <w:t xml:space="preserve">(ראו בג"ץ 2605/05 </w:t>
      </w:r>
      <w:r w:rsidRPr="00643EF4">
        <w:rPr>
          <w:rFonts w:ascii="Century" w:hAnsi="Century" w:cs="Miriam" w:hint="cs"/>
          <w:b/>
          <w:spacing w:val="0"/>
          <w:sz w:val="22"/>
          <w:szCs w:val="24"/>
          <w:rtl/>
        </w:rPr>
        <w:t>המרכז האקדמי למשפט ולעסקים נ' שר האוצר</w:t>
      </w:r>
      <w:r w:rsidRPr="00643EF4">
        <w:rPr>
          <w:rFonts w:ascii="Century" w:hAnsi="Century" w:hint="cs"/>
          <w:sz w:val="22"/>
          <w:rtl/>
        </w:rPr>
        <w:t xml:space="preserve">, פ"ד סג(2), פסקה 44 לחוות הדעת של הנשיאה </w:t>
      </w:r>
      <w:r w:rsidRPr="00643EF4">
        <w:rPr>
          <w:rFonts w:ascii="Century" w:hAnsi="Century" w:cs="Miriam" w:hint="cs"/>
          <w:b/>
          <w:spacing w:val="0"/>
          <w:sz w:val="22"/>
          <w:szCs w:val="24"/>
          <w:rtl/>
        </w:rPr>
        <w:t>ד' ביניש</w:t>
      </w:r>
      <w:r w:rsidRPr="00643EF4">
        <w:rPr>
          <w:rFonts w:ascii="Century" w:hAnsi="Century" w:hint="cs"/>
          <w:sz w:val="22"/>
          <w:rtl/>
        </w:rPr>
        <w:t xml:space="preserve"> (2009) </w:t>
      </w:r>
      <w:r w:rsidRPr="00643EF4">
        <w:rPr>
          <w:rFonts w:ascii="Century" w:hAnsi="Century"/>
          <w:sz w:val="22"/>
          <w:rtl/>
        </w:rPr>
        <w:t>(</w:t>
      </w:r>
      <w:r w:rsidRPr="00643EF4">
        <w:rPr>
          <w:rFonts w:ascii="Century" w:hAnsi="Century" w:hint="eastAsia"/>
          <w:sz w:val="22"/>
          <w:rtl/>
        </w:rPr>
        <w:t>להלן</w:t>
      </w:r>
      <w:r w:rsidRPr="00643EF4">
        <w:rPr>
          <w:rFonts w:ascii="Century" w:hAnsi="Century"/>
          <w:sz w:val="22"/>
          <w:rtl/>
        </w:rPr>
        <w:t>:</w:t>
      </w:r>
      <w:r w:rsidRPr="00643EF4">
        <w:rPr>
          <w:rFonts w:ascii="Century" w:hAnsi="Century" w:hint="cs"/>
          <w:sz w:val="22"/>
          <w:rtl/>
        </w:rPr>
        <w:t xml:space="preserve"> עניין</w:t>
      </w:r>
      <w:r w:rsidRPr="00643EF4">
        <w:rPr>
          <w:rFonts w:ascii="Century" w:hAnsi="Century"/>
          <w:sz w:val="22"/>
          <w:rtl/>
        </w:rPr>
        <w:t xml:space="preserve"> </w:t>
      </w:r>
      <w:r w:rsidRPr="00643EF4">
        <w:rPr>
          <w:rFonts w:ascii="Century" w:hAnsi="Century" w:cs="Miriam" w:hint="cs"/>
          <w:b/>
          <w:spacing w:val="0"/>
          <w:sz w:val="22"/>
          <w:szCs w:val="24"/>
          <w:rtl/>
        </w:rPr>
        <w:t>הפרטת בית הסוהר</w:t>
      </w:r>
      <w:r w:rsidRPr="00643EF4">
        <w:rPr>
          <w:rFonts w:ascii="Century" w:hAnsi="Century" w:hint="cs"/>
          <w:sz w:val="22"/>
          <w:rtl/>
        </w:rPr>
        <w:t xml:space="preserve">)). </w:t>
      </w:r>
      <w:r w:rsidRPr="00643EF4">
        <w:rPr>
          <w:rFonts w:hint="cs"/>
          <w:rtl/>
        </w:rPr>
        <w:t xml:space="preserve">פסקת ההגבלה קובעת ארבעה תנאים מצטברים אשר בהתקיימם צולחת הפגיעה בזכות את מבחן החוקתיות ואלו הם: (1) הפגיעה בזכות צריכה להיעשות בחוק (או מכוח הסמכה מפורשת בחוק); (2) החוק צריך להלום את ערכיה של מדינת ישראל כמדינה יהודית ודמוקרטית; (3) על תכלית החוק להיות תכלית ראויה; (4) על הפגיעה בזכות החוקתית להיות במידה שאינה עולה על הנדרש. </w:t>
      </w:r>
    </w:p>
    <w:p w14:paraId="549C70DB" w14:textId="77777777" w:rsidR="000E5D20" w:rsidRPr="00643EF4" w:rsidRDefault="000E5D20" w:rsidP="000E5D20">
      <w:pPr>
        <w:pStyle w:val="Ruller4"/>
        <w:numPr>
          <w:ilvl w:val="0"/>
          <w:numId w:val="0"/>
        </w:numPr>
        <w:rPr>
          <w:rtl/>
        </w:rPr>
      </w:pPr>
    </w:p>
    <w:p w14:paraId="10A27134" w14:textId="34D52DEB" w:rsidR="000E5D20" w:rsidRPr="00643EF4" w:rsidRDefault="000E5D20" w:rsidP="000E5D20">
      <w:pPr>
        <w:pStyle w:val="Ruller4"/>
        <w:numPr>
          <w:ilvl w:val="0"/>
          <w:numId w:val="0"/>
        </w:numPr>
        <w:rPr>
          <w:rFonts w:ascii="Century" w:hAnsi="Century"/>
          <w:sz w:val="22"/>
          <w:rtl/>
        </w:rPr>
      </w:pPr>
      <w:r w:rsidRPr="00643EF4">
        <w:rPr>
          <w:rFonts w:ascii="Century" w:hAnsi="Century"/>
          <w:sz w:val="22"/>
          <w:rtl/>
        </w:rPr>
        <w:tab/>
      </w:r>
      <w:r w:rsidRPr="00643EF4">
        <w:rPr>
          <w:rFonts w:ascii="Century" w:hAnsi="Century" w:hint="cs"/>
          <w:sz w:val="22"/>
          <w:rtl/>
        </w:rPr>
        <w:t>הצדדים לא הרחיבו טיעונים באשר לשני התנאים הראשונים של פסקת ההגבלה ולפיכך, אמקד גם אני את הדיון בסוגיית התכלית הראויה ובסוגיית מידתיות הפגיעה.</w:t>
      </w:r>
    </w:p>
    <w:p w14:paraId="714F5FA4" w14:textId="45F7E2CD" w:rsidR="00190218" w:rsidRPr="00643EF4" w:rsidRDefault="00190218" w:rsidP="00190218">
      <w:pPr>
        <w:pStyle w:val="Ruller41"/>
        <w:rPr>
          <w:rtl/>
        </w:rPr>
      </w:pPr>
    </w:p>
    <w:p w14:paraId="3B568AF7"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תכלית החקיקה</w:t>
      </w:r>
    </w:p>
    <w:p w14:paraId="021DF143"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51BD4E69" w14:textId="6980E717" w:rsidR="00190218" w:rsidRPr="00643EF4" w:rsidRDefault="00190218" w:rsidP="00190218">
      <w:pPr>
        <w:pStyle w:val="Ruller4"/>
        <w:rPr>
          <w:rtl/>
        </w:rPr>
      </w:pPr>
      <w:r w:rsidRPr="00643EF4">
        <w:rPr>
          <w:rFonts w:hint="cs"/>
          <w:rtl/>
        </w:rPr>
        <w:t xml:space="preserve">הממשלה, הכנסת ומועצת מטה בנימין עמדו על חמש תכליות מרכזיות שאותן נועד חוק ההסדרה לקדם: התכלית </w:t>
      </w:r>
      <w:r w:rsidRPr="00643EF4">
        <w:rPr>
          <w:rFonts w:cs="Miriam" w:hint="cs"/>
          <w:b/>
          <w:szCs w:val="24"/>
          <w:rtl/>
        </w:rPr>
        <w:t>הראשונה</w:t>
      </w:r>
      <w:r w:rsidRPr="00643EF4">
        <w:rPr>
          <w:rFonts w:hint="cs"/>
          <w:rtl/>
        </w:rPr>
        <w:t xml:space="preserve">, היא לדברי המשיבות תכלית "אנושית-חברתית" </w:t>
      </w:r>
      <w:r w:rsidRPr="00643EF4">
        <w:rPr>
          <w:rtl/>
        </w:rPr>
        <w:t>–</w:t>
      </w:r>
      <w:r w:rsidRPr="00643EF4">
        <w:rPr>
          <w:rFonts w:hint="cs"/>
          <w:rtl/>
        </w:rPr>
        <w:t xml:space="preserve"> להסדיר מבנים בהתיישבות הישראלית באזור, למנוע הריסה של מבנים בלתי חוקיים שנבנו שם, וכפועל היוצא מכך למנוע פינוי של התושבים המתגוררים בהם. התכלית </w:t>
      </w:r>
      <w:r w:rsidRPr="00643EF4">
        <w:rPr>
          <w:rFonts w:cs="Miriam" w:hint="cs"/>
          <w:b/>
          <w:szCs w:val="24"/>
          <w:rtl/>
        </w:rPr>
        <w:t>השנייה</w:t>
      </w:r>
      <w:r w:rsidRPr="00643EF4">
        <w:rPr>
          <w:rFonts w:hint="cs"/>
          <w:rtl/>
        </w:rPr>
        <w:t xml:space="preserve">, המוכתרת על ידי המשיבות כתכלית "מדינית-לאומית" </w:t>
      </w:r>
      <w:r w:rsidRPr="00643EF4">
        <w:rPr>
          <w:rtl/>
        </w:rPr>
        <w:t>–</w:t>
      </w:r>
      <w:r w:rsidRPr="00643EF4">
        <w:rPr>
          <w:rFonts w:hint="cs"/>
          <w:rtl/>
        </w:rPr>
        <w:t xml:space="preserve"> למנוע פינוי מאסיבי של ההתיישבות הישראלית באזור שלא במסגרת הסכם מדיני, ולאפשר את המשך ביסוסה ופיתוחה של התיישבות זו. התכלית </w:t>
      </w:r>
      <w:r w:rsidRPr="00643EF4">
        <w:rPr>
          <w:rFonts w:cs="Miriam" w:hint="cs"/>
          <w:b/>
          <w:szCs w:val="24"/>
          <w:rtl/>
        </w:rPr>
        <w:t>השלישית</w:t>
      </w:r>
      <w:r w:rsidRPr="00643EF4">
        <w:rPr>
          <w:rFonts w:hint="cs"/>
          <w:rtl/>
        </w:rPr>
        <w:t xml:space="preserve"> של החוק, לטענת המשיבות, היא לבטא אחריות שלטונית וליתן פתרון לאותם מקרים שבהם אזרחים ישראלים בנו את מרכז חייהם בשטחי האזור, בהסכמת המדינה ובעידודה, מתוך יסוד סביר להניח כי המבנים שהם מתגוררים בהם יעברו הליך של הסדרה בחלוף הזמן. התכלית </w:t>
      </w:r>
      <w:r w:rsidRPr="00643EF4">
        <w:rPr>
          <w:rFonts w:cs="Miriam" w:hint="cs"/>
          <w:b/>
          <w:szCs w:val="24"/>
          <w:rtl/>
        </w:rPr>
        <w:t>הרביעית</w:t>
      </w:r>
      <w:r w:rsidRPr="00643EF4">
        <w:rPr>
          <w:rFonts w:hint="cs"/>
          <w:rtl/>
        </w:rPr>
        <w:t xml:space="preserve">, כך נטען, היא לקדם יעדים של יעילות כלכלית בשני היבטים: נטען כי העלות הכרוכה </w:t>
      </w:r>
      <w:r w:rsidRPr="00643EF4">
        <w:rPr>
          <w:rFonts w:hint="cs"/>
          <w:rtl/>
        </w:rPr>
        <w:lastRenderedPageBreak/>
        <w:t xml:space="preserve">באי הסדרה של אלפי המבנים באזור, לרבות עלות פינוי התושבים והעתקת היישובים, עולה עשרות מונים על העלות הכלכלית של הסדרתם. כמו כן, נטען כי ישנם מקרים לא מעטים בהם אין לבעלי הזכויות הפלסטינים כל אפשרות מעשית להשתמש במקרקעין בשל שיקולים ביטחוניים או משום היותם "כלואים" בתוך ישוב ישראלי. על כן, במקרים אלה האינטרס הציבורי הוא תשלום פיצוי לבעל הזכויות הפלסטיני, על מנת לאפשר ניצול מיטבי של המקרקעין בידי המתיישב הישראלי. התכלית </w:t>
      </w:r>
      <w:r w:rsidRPr="00643EF4">
        <w:rPr>
          <w:rFonts w:cs="Miriam" w:hint="cs"/>
          <w:b/>
          <w:szCs w:val="24"/>
          <w:rtl/>
        </w:rPr>
        <w:t>החמישית</w:t>
      </w:r>
      <w:r w:rsidRPr="00643EF4">
        <w:rPr>
          <w:rFonts w:hint="cs"/>
          <w:rtl/>
        </w:rPr>
        <w:t xml:space="preserve"> והאחרונה, לטענת המשיבות, היא להתמודד עם החקיקה של הרשות הפלסטינית האוסרת על בעלי זכויות פלסטינים למכור את המקרקעין שלהם לתושבים יהודים. זאת, חרף רצונם לעשות כן וחרף העובדה שבמקרים רבים אין לתושבים הפלסטינים יכולת מעשית להפיק הנאה מהמקרקעין המצויים בלב התיישבות ישראלית. נטען כי חוק ההסדרה מייצר מנגנון של רכישה "כפויה" של זכויות השימוש במקרקעין ובכך הוא מתגבר על האיסורים בדין הפלסטיני ואף מגן על זכות הקניין של הפלסטינים להפיק רווח כלכלי מקניינם. בדיון בפני המותב הוסיף בא כוח הממשלה כי תכליתו של החוק ליצור מנגנון פשוט, נוח וקל להפעלה שיימנע "הצפה" של בתי המשפט בהליכים פרטניים שעניינם הסדרת הזכויות במקרקעין של המתיישבים הישראלים באזור. </w:t>
      </w:r>
    </w:p>
    <w:p w14:paraId="6675FF64"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57D389BA" w14:textId="1D82ADBC"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לגישת היועץ המשפטי לממשלה תכליתו העיקרית של החוק, הנלמדת מהרקע לחקיקתו, מדברי ההסבר ומן ההסדר הקבוע בו</w:t>
      </w:r>
      <w:r w:rsidR="00B56CE7" w:rsidRPr="00643EF4">
        <w:rPr>
          <w:rFonts w:ascii="Garamond" w:hAnsi="Garamond" w:cs="FrankRuehl" w:hint="cs"/>
          <w:spacing w:val="10"/>
          <w:sz w:val="24"/>
          <w:szCs w:val="28"/>
          <w:rtl/>
        </w:rPr>
        <w:t>,</w:t>
      </w:r>
      <w:r w:rsidRPr="00643EF4">
        <w:rPr>
          <w:rFonts w:ascii="Garamond" w:hAnsi="Garamond" w:cs="FrankRuehl" w:hint="cs"/>
          <w:spacing w:val="10"/>
          <w:sz w:val="24"/>
          <w:szCs w:val="28"/>
          <w:rtl/>
        </w:rPr>
        <w:t xml:space="preserve"> היא </w:t>
      </w:r>
      <w:r w:rsidRPr="00643EF4">
        <w:rPr>
          <w:rFonts w:ascii="Garamond" w:hAnsi="Garamond" w:cs="FrankRuehl"/>
          <w:spacing w:val="10"/>
          <w:sz w:val="24"/>
          <w:szCs w:val="28"/>
          <w:rtl/>
        </w:rPr>
        <w:t>–</w:t>
      </w:r>
      <w:r w:rsidRPr="00643EF4">
        <w:rPr>
          <w:rFonts w:ascii="Garamond" w:hAnsi="Garamond" w:cs="FrankRuehl" w:hint="cs"/>
          <w:spacing w:val="10"/>
          <w:sz w:val="24"/>
          <w:szCs w:val="28"/>
          <w:rtl/>
        </w:rPr>
        <w:t xml:space="preserve"> מניעת הריסה ופינוי של מבנים בהתיישבות אשר מצויים על מקרקעין שאינם מוכרזים כ"רכוש ממשלתי", תוך הסדרתם במישור הקנייני והתכנוני. תכלית נוספת שעליה עומד היועץ המשפטי לממשלה היא "מתן מענה למתיישבים שהקימו את בתיהם תוך הסתמכות על הסכמת המדינה ומוסדותיה, ולימים התברר כי בתים אלה הוקמו על מקרקעין שאינם רכוש ממשלתי" (פסקה 137 לעמדת היועץ המשפטי לממשלה).</w:t>
      </w:r>
    </w:p>
    <w:p w14:paraId="69577BB6"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5C31D879" w14:textId="3264292B" w:rsidR="00190218" w:rsidRPr="00643EF4" w:rsidRDefault="00190218" w:rsidP="00190218">
      <w:pPr>
        <w:pStyle w:val="Ruller4"/>
        <w:rPr>
          <w:rtl/>
        </w:rPr>
      </w:pPr>
      <w:r w:rsidRPr="00643EF4">
        <w:rPr>
          <w:rFonts w:hint="cs"/>
          <w:rtl/>
        </w:rPr>
        <w:t>העותרים מצידם טוענים כי יש לחוק תכליות נוספות, סמויות מן העין ומפלות, הרלוונטיות להתיישבות היהודית בלבד באזור. לטענתם החוק נועד לחול רטרואקטיבית על מבנים שנבנו שלא כדין באופן שיכשיר עבירות בנייה, בניגוד לדין הבינלאומי, ותוך מתן "פרס" לעבריינים. נטען כי תכלית החוק היא לאפשר למדינה להמשיך ולהימנע מאכיפה של החוק ומהגנה על זכות הקניין והזכות לכבוד של פלסטינים בעלי המקרקעין באזור, תוך העדפה מובהקת של המתיישבים הישראלים שם.</w:t>
      </w:r>
    </w:p>
    <w:p w14:paraId="7F4A6E3F"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65747459" w14:textId="407A0B06" w:rsidR="00190218" w:rsidRPr="00643EF4" w:rsidRDefault="00190218" w:rsidP="00190218">
      <w:pPr>
        <w:pStyle w:val="Ruller4"/>
        <w:rPr>
          <w:rtl/>
        </w:rPr>
      </w:pPr>
      <w:r w:rsidRPr="00643EF4">
        <w:rPr>
          <w:rFonts w:hint="cs"/>
          <w:rtl/>
        </w:rPr>
        <w:t>מטרתו המוצהרת של החוק</w:t>
      </w:r>
      <w:r w:rsidR="0001744D" w:rsidRPr="00643EF4">
        <w:rPr>
          <w:rFonts w:hint="cs"/>
          <w:rtl/>
        </w:rPr>
        <w:t>,</w:t>
      </w:r>
      <w:r w:rsidRPr="00643EF4">
        <w:rPr>
          <w:rFonts w:hint="cs"/>
          <w:rtl/>
        </w:rPr>
        <w:t xml:space="preserve"> כאמור בסעיף 1 שבו היא: "להסדיר את ההתיישבות ביהודה ושומרון ולאפשר את ביסוסה ופיתוחה". </w:t>
      </w:r>
      <w:r w:rsidRPr="00643EF4">
        <w:rPr>
          <w:rFonts w:hint="eastAsia"/>
          <w:rtl/>
        </w:rPr>
        <w:t>בדומה</w:t>
      </w:r>
      <w:r w:rsidRPr="00643EF4">
        <w:rPr>
          <w:rtl/>
        </w:rPr>
        <w:t xml:space="preserve"> </w:t>
      </w:r>
      <w:r w:rsidRPr="00643EF4">
        <w:rPr>
          <w:rFonts w:hint="eastAsia"/>
          <w:rtl/>
        </w:rPr>
        <w:t>לגישת</w:t>
      </w:r>
      <w:r w:rsidRPr="00643EF4">
        <w:rPr>
          <w:rtl/>
        </w:rPr>
        <w:t xml:space="preserve"> </w:t>
      </w:r>
      <w:r w:rsidRPr="00643EF4">
        <w:rPr>
          <w:rFonts w:hint="eastAsia"/>
          <w:rtl/>
        </w:rPr>
        <w:t>היועץ</w:t>
      </w:r>
      <w:r w:rsidRPr="00643EF4">
        <w:rPr>
          <w:rtl/>
        </w:rPr>
        <w:t xml:space="preserve"> </w:t>
      </w:r>
      <w:r w:rsidRPr="00643EF4">
        <w:rPr>
          <w:rFonts w:hint="eastAsia"/>
          <w:rtl/>
        </w:rPr>
        <w:t>המשפטי</w:t>
      </w:r>
      <w:r w:rsidRPr="00643EF4">
        <w:rPr>
          <w:rtl/>
        </w:rPr>
        <w:t xml:space="preserve"> </w:t>
      </w:r>
      <w:r w:rsidRPr="00643EF4">
        <w:rPr>
          <w:rFonts w:hint="eastAsia"/>
          <w:rtl/>
        </w:rPr>
        <w:t>לממשלה</w:t>
      </w:r>
      <w:r w:rsidRPr="00643EF4">
        <w:rPr>
          <w:rtl/>
        </w:rPr>
        <w:t xml:space="preserve">, </w:t>
      </w:r>
      <w:r w:rsidRPr="00643EF4">
        <w:rPr>
          <w:rFonts w:hint="eastAsia"/>
          <w:rtl/>
        </w:rPr>
        <w:t>נראה</w:t>
      </w:r>
      <w:r w:rsidRPr="00643EF4">
        <w:rPr>
          <w:rtl/>
        </w:rPr>
        <w:t xml:space="preserve"> </w:t>
      </w:r>
      <w:r w:rsidRPr="00643EF4">
        <w:rPr>
          <w:rFonts w:hint="eastAsia"/>
          <w:rtl/>
        </w:rPr>
        <w:t>כי</w:t>
      </w:r>
      <w:r w:rsidRPr="00643EF4">
        <w:rPr>
          <w:rtl/>
        </w:rPr>
        <w:t xml:space="preserve"> </w:t>
      </w:r>
      <w:r w:rsidRPr="00643EF4">
        <w:rPr>
          <w:rFonts w:hint="eastAsia"/>
          <w:rtl/>
        </w:rPr>
        <w:t>מכלול</w:t>
      </w:r>
      <w:r w:rsidRPr="00643EF4">
        <w:rPr>
          <w:rtl/>
        </w:rPr>
        <w:t xml:space="preserve"> </w:t>
      </w:r>
      <w:r w:rsidRPr="00643EF4">
        <w:rPr>
          <w:rFonts w:hint="eastAsia"/>
          <w:rtl/>
        </w:rPr>
        <w:t>הוראותיו</w:t>
      </w:r>
      <w:r w:rsidRPr="00643EF4">
        <w:rPr>
          <w:rtl/>
        </w:rPr>
        <w:t xml:space="preserve"> </w:t>
      </w:r>
      <w:r w:rsidRPr="00643EF4">
        <w:rPr>
          <w:rFonts w:hint="eastAsia"/>
          <w:rtl/>
        </w:rPr>
        <w:t>של</w:t>
      </w:r>
      <w:r w:rsidRPr="00643EF4">
        <w:rPr>
          <w:rtl/>
        </w:rPr>
        <w:t xml:space="preserve"> </w:t>
      </w:r>
      <w:r w:rsidRPr="00643EF4">
        <w:rPr>
          <w:rFonts w:hint="eastAsia"/>
          <w:rtl/>
        </w:rPr>
        <w:t>חוק</w:t>
      </w:r>
      <w:r w:rsidRPr="00643EF4">
        <w:rPr>
          <w:rtl/>
        </w:rPr>
        <w:t xml:space="preserve"> </w:t>
      </w:r>
      <w:r w:rsidRPr="00643EF4">
        <w:rPr>
          <w:rFonts w:hint="eastAsia"/>
          <w:rtl/>
        </w:rPr>
        <w:t>ההסדרה</w:t>
      </w:r>
      <w:r w:rsidRPr="00643EF4">
        <w:rPr>
          <w:rtl/>
        </w:rPr>
        <w:t xml:space="preserve"> </w:t>
      </w:r>
      <w:r w:rsidRPr="00643EF4">
        <w:rPr>
          <w:rFonts w:hint="eastAsia"/>
          <w:rtl/>
        </w:rPr>
        <w:t>וכן</w:t>
      </w:r>
      <w:r w:rsidRPr="00643EF4">
        <w:rPr>
          <w:rtl/>
        </w:rPr>
        <w:t xml:space="preserve"> </w:t>
      </w:r>
      <w:r w:rsidRPr="00643EF4">
        <w:rPr>
          <w:rFonts w:hint="eastAsia"/>
          <w:rtl/>
        </w:rPr>
        <w:t>דברי</w:t>
      </w:r>
      <w:r w:rsidRPr="00643EF4">
        <w:rPr>
          <w:rtl/>
        </w:rPr>
        <w:t xml:space="preserve"> </w:t>
      </w:r>
      <w:r w:rsidRPr="00643EF4">
        <w:rPr>
          <w:rFonts w:hint="eastAsia"/>
          <w:rtl/>
        </w:rPr>
        <w:t>ההסבר</w:t>
      </w:r>
      <w:r w:rsidRPr="00643EF4">
        <w:rPr>
          <w:rtl/>
        </w:rPr>
        <w:t xml:space="preserve"> </w:t>
      </w:r>
      <w:r w:rsidRPr="00643EF4">
        <w:rPr>
          <w:rFonts w:hint="eastAsia"/>
          <w:rtl/>
        </w:rPr>
        <w:t>לחוק</w:t>
      </w:r>
      <w:r w:rsidRPr="00643EF4">
        <w:rPr>
          <w:rtl/>
        </w:rPr>
        <w:t xml:space="preserve"> </w:t>
      </w:r>
      <w:r w:rsidRPr="00643EF4">
        <w:rPr>
          <w:rFonts w:hint="eastAsia"/>
          <w:rtl/>
        </w:rPr>
        <w:t>והרקע</w:t>
      </w:r>
      <w:r w:rsidRPr="00643EF4">
        <w:rPr>
          <w:rtl/>
        </w:rPr>
        <w:t xml:space="preserve"> </w:t>
      </w:r>
      <w:r w:rsidRPr="00643EF4">
        <w:rPr>
          <w:rFonts w:hint="eastAsia"/>
          <w:rtl/>
        </w:rPr>
        <w:t>לחקיקתו</w:t>
      </w:r>
      <w:r w:rsidRPr="00643EF4">
        <w:rPr>
          <w:rtl/>
        </w:rPr>
        <w:t xml:space="preserve"> </w:t>
      </w:r>
      <w:r w:rsidRPr="00643EF4">
        <w:rPr>
          <w:rFonts w:hint="eastAsia"/>
          <w:rtl/>
        </w:rPr>
        <w:t>מלמדים</w:t>
      </w:r>
      <w:r w:rsidRPr="00643EF4">
        <w:rPr>
          <w:rtl/>
        </w:rPr>
        <w:t xml:space="preserve"> </w:t>
      </w:r>
      <w:r w:rsidRPr="00643EF4">
        <w:rPr>
          <w:rFonts w:hint="eastAsia"/>
          <w:rtl/>
        </w:rPr>
        <w:t>בהקשר</w:t>
      </w:r>
      <w:r w:rsidRPr="00643EF4">
        <w:rPr>
          <w:rtl/>
        </w:rPr>
        <w:t xml:space="preserve"> </w:t>
      </w:r>
      <w:r w:rsidRPr="00643EF4">
        <w:rPr>
          <w:rFonts w:hint="eastAsia"/>
          <w:rtl/>
        </w:rPr>
        <w:t>זה</w:t>
      </w:r>
      <w:r w:rsidRPr="00643EF4">
        <w:rPr>
          <w:rtl/>
        </w:rPr>
        <w:t xml:space="preserve"> </w:t>
      </w:r>
      <w:r w:rsidRPr="00643EF4">
        <w:rPr>
          <w:rFonts w:hint="eastAsia"/>
          <w:rtl/>
        </w:rPr>
        <w:t>על</w:t>
      </w:r>
      <w:r w:rsidRPr="00643EF4">
        <w:rPr>
          <w:rtl/>
        </w:rPr>
        <w:t xml:space="preserve"> </w:t>
      </w:r>
      <w:r w:rsidRPr="00643EF4">
        <w:rPr>
          <w:rFonts w:hint="eastAsia"/>
          <w:rtl/>
        </w:rPr>
        <w:t>שתי</w:t>
      </w:r>
      <w:r w:rsidRPr="00643EF4">
        <w:rPr>
          <w:rtl/>
        </w:rPr>
        <w:t xml:space="preserve"> </w:t>
      </w:r>
      <w:r w:rsidRPr="00643EF4">
        <w:rPr>
          <w:rFonts w:hint="eastAsia"/>
          <w:rtl/>
        </w:rPr>
        <w:t>תכליות</w:t>
      </w:r>
      <w:r w:rsidRPr="00643EF4">
        <w:rPr>
          <w:rtl/>
        </w:rPr>
        <w:t xml:space="preserve"> </w:t>
      </w:r>
      <w:r w:rsidRPr="00643EF4">
        <w:rPr>
          <w:rFonts w:hint="eastAsia"/>
          <w:rtl/>
        </w:rPr>
        <w:t>מרכזיות</w:t>
      </w:r>
      <w:r w:rsidRPr="00643EF4">
        <w:rPr>
          <w:rtl/>
        </w:rPr>
        <w:t xml:space="preserve"> </w:t>
      </w:r>
      <w:r w:rsidRPr="00643EF4">
        <w:rPr>
          <w:rFonts w:hint="cs"/>
          <w:rtl/>
        </w:rPr>
        <w:t>ה</w:t>
      </w:r>
      <w:r w:rsidRPr="00643EF4">
        <w:rPr>
          <w:rFonts w:hint="eastAsia"/>
          <w:rtl/>
        </w:rPr>
        <w:t>כרוכות</w:t>
      </w:r>
      <w:r w:rsidRPr="00643EF4">
        <w:rPr>
          <w:rtl/>
        </w:rPr>
        <w:t xml:space="preserve"> </w:t>
      </w:r>
      <w:r w:rsidRPr="00643EF4">
        <w:rPr>
          <w:rFonts w:hint="eastAsia"/>
          <w:rtl/>
        </w:rPr>
        <w:t>ושלובות</w:t>
      </w:r>
      <w:r w:rsidRPr="00643EF4">
        <w:rPr>
          <w:rtl/>
        </w:rPr>
        <w:t xml:space="preserve"> </w:t>
      </w:r>
      <w:r w:rsidRPr="00643EF4">
        <w:rPr>
          <w:rFonts w:hint="eastAsia"/>
          <w:rtl/>
        </w:rPr>
        <w:t>זו</w:t>
      </w:r>
      <w:r w:rsidRPr="00643EF4">
        <w:rPr>
          <w:rtl/>
        </w:rPr>
        <w:t xml:space="preserve"> </w:t>
      </w:r>
      <w:r w:rsidRPr="00643EF4">
        <w:rPr>
          <w:rFonts w:hint="eastAsia"/>
          <w:rtl/>
        </w:rPr>
        <w:t>בזו</w:t>
      </w:r>
      <w:r w:rsidRPr="00643EF4">
        <w:rPr>
          <w:rFonts w:hint="cs"/>
          <w:rtl/>
        </w:rPr>
        <w:t xml:space="preserve">. תכלית אחת היא </w:t>
      </w:r>
      <w:r w:rsidRPr="00643EF4">
        <w:rPr>
          <w:rFonts w:ascii="Century" w:hAnsi="Century" w:cs="Miriam" w:hint="cs"/>
          <w:b/>
          <w:sz w:val="22"/>
          <w:szCs w:val="24"/>
          <w:rtl/>
        </w:rPr>
        <w:t>תכלית "מערכתית"</w:t>
      </w:r>
      <w:r w:rsidRPr="00643EF4">
        <w:rPr>
          <w:rFonts w:hint="cs"/>
          <w:rtl/>
        </w:rPr>
        <w:t xml:space="preserve"> </w:t>
      </w:r>
      <w:r w:rsidRPr="00643EF4">
        <w:rPr>
          <w:rtl/>
        </w:rPr>
        <w:t>–</w:t>
      </w:r>
      <w:r w:rsidRPr="00643EF4">
        <w:rPr>
          <w:rFonts w:hint="cs"/>
          <w:rtl/>
        </w:rPr>
        <w:t xml:space="preserve"> ביסוס ההתיישבות באזור בדרך של הסדרה קניינית </w:t>
      </w:r>
      <w:r w:rsidRPr="00643EF4">
        <w:rPr>
          <w:rFonts w:hint="cs"/>
          <w:rtl/>
        </w:rPr>
        <w:lastRenderedPageBreak/>
        <w:t>ותכנונית בדיעבד של בנייה בלתי חוקית על מקרקעין שאינם "רכוש ממשלתי", ובמילים אחרות, הכשרה בדיעבד של התיישבות בלתי חוקית על מקרקעין שאינם רכוש ממשלתי באזור. לצד תכלית זו קיימת תכלית שנייה, השלובה בתכלית הראשונה אך מובחנת ממנה, שעניינה מניעת הריסה ופינוי ומתן מענה למצוקתם של אותם מתיישבים שהקימו את בתיהם תוך הסתמכות על הסכמת המדינה ומוסדותיה ולימים התברר כי בתים אלה הוקמו על רכוש שאינו ממשלתי. תכלית זו דומה, במידה חלקית, לאחת התכליות שהציגו המשיבות, וניתן להגדירה בהתאם כ</w:t>
      </w:r>
      <w:r w:rsidRPr="00643EF4">
        <w:rPr>
          <w:rFonts w:ascii="Century" w:hAnsi="Century" w:cs="Miriam" w:hint="cs"/>
          <w:b/>
          <w:sz w:val="22"/>
          <w:szCs w:val="24"/>
          <w:rtl/>
        </w:rPr>
        <w:t>תכלית "אנושית".</w:t>
      </w:r>
      <w:r w:rsidRPr="00643EF4">
        <w:rPr>
          <w:rFonts w:hint="cs"/>
          <w:rtl/>
        </w:rPr>
        <w:t xml:space="preserve"> ביחס לתכלית נוספת זו צוין</w:t>
      </w:r>
      <w:r w:rsidRPr="00643EF4">
        <w:rPr>
          <w:rFonts w:ascii="Century" w:hAnsi="Century" w:hint="cs"/>
          <w:rtl/>
        </w:rPr>
        <w:t xml:space="preserve"> בדברי ההסבר לחוק ההסדרה כי:</w:t>
      </w:r>
    </w:p>
    <w:p w14:paraId="3FA07823"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0A2DAF95" w14:textId="77777777" w:rsidR="00190218" w:rsidRPr="00643EF4" w:rsidRDefault="00190218" w:rsidP="00190218">
      <w:pPr>
        <w:ind w:left="1642" w:right="1282"/>
        <w:jc w:val="both"/>
        <w:rPr>
          <w:rFonts w:ascii="Arial TUR" w:hAnsi="Arial TUR" w:cs="FrankRuehl"/>
          <w:spacing w:val="10"/>
          <w:sz w:val="22"/>
          <w:szCs w:val="28"/>
        </w:rPr>
      </w:pPr>
      <w:r w:rsidRPr="00643EF4">
        <w:rPr>
          <w:rFonts w:ascii="Arial TUR" w:hAnsi="Arial TUR" w:cs="FrankRuehl" w:hint="cs"/>
          <w:spacing w:val="10"/>
          <w:sz w:val="22"/>
          <w:szCs w:val="28"/>
          <w:rtl/>
        </w:rPr>
        <w:t>"במקרים רבים נבנו יישובים באזור בהסכמתה ואף בעידודה ובהשתתפותה של המדינה, או בתום לב של האזרחים הישראלים שבנו את היישובים, ולא היו מודעים לכך שמדובר במקרקעין בבעלות פרטית. הותרת המצב ביישובים אלו כפי שהוא היום או הריסתם עלולות לגרום לפגיעה קשה ולא מוצדקת במי שמתגוררים בהם שנים רבות".</w:t>
      </w:r>
    </w:p>
    <w:p w14:paraId="15B5AAF1" w14:textId="77777777" w:rsidR="00190218" w:rsidRPr="00643EF4" w:rsidRDefault="00190218" w:rsidP="00190218">
      <w:pPr>
        <w:tabs>
          <w:tab w:val="left" w:pos="800"/>
        </w:tabs>
        <w:spacing w:line="360" w:lineRule="auto"/>
        <w:jc w:val="both"/>
        <w:rPr>
          <w:rFonts w:ascii="Century" w:hAnsi="Century" w:cs="FrankRuehl"/>
          <w:spacing w:val="10"/>
          <w:sz w:val="22"/>
          <w:szCs w:val="28"/>
          <w:rtl/>
        </w:rPr>
      </w:pPr>
    </w:p>
    <w:p w14:paraId="756BA1C9"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r w:rsidRPr="00643EF4">
        <w:rPr>
          <w:rFonts w:ascii="Arial TUR" w:hAnsi="Arial TUR" w:cs="FrankRuehl"/>
          <w:spacing w:val="10"/>
          <w:sz w:val="22"/>
          <w:szCs w:val="28"/>
          <w:rtl/>
        </w:rPr>
        <w:tab/>
      </w:r>
      <w:r w:rsidRPr="00643EF4">
        <w:rPr>
          <w:rFonts w:ascii="Arial TUR" w:hAnsi="Arial TUR" w:cs="FrankRuehl" w:hint="cs"/>
          <w:spacing w:val="10"/>
          <w:sz w:val="22"/>
          <w:szCs w:val="28"/>
          <w:rtl/>
        </w:rPr>
        <w:t xml:space="preserve">ובישיבת הוועדה המשותפת אשר דנה בנוסח הצעת החוק ציין בהקשר זה היועץ המשפטי לכנסת, עו"ד איל ינון, כי הצעת החוק מבקשת להסדיר "התנהלות בעייתית ביותר, שלה היו שותפים גורמים רבים, ובתוכם גם גורמים שלטוניים [...] [ש]תוצאתה [...] [היא] מצוקה הומניטרית קשה של עשרות משפחות ישראליות שנאלצות להתמודד עם גזרה שקשה מאוד להתמודד עמה: הצורך לפנות ביתן ולהעתיק את מקום מגוריהן" (פרוטוקול הדיון של הוועדה המשותפת מיום 22.11.2016, בעמ' 6). </w:t>
      </w:r>
    </w:p>
    <w:p w14:paraId="3D2A8BBD"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243FA4E8" w14:textId="30E110DA" w:rsidR="00190218" w:rsidRPr="00643EF4" w:rsidRDefault="00190218" w:rsidP="00190218">
      <w:pPr>
        <w:pStyle w:val="Ruller4"/>
      </w:pPr>
      <w:r w:rsidRPr="00643EF4">
        <w:rPr>
          <w:rFonts w:hint="cs"/>
          <w:rtl/>
        </w:rPr>
        <w:t xml:space="preserve">נוסף על תכליות אלה עמדו הממשלה, הכנסת ומועצת מטה בנימין על מספר תכליות נוספות כמפורט לעיל. במסגרת זו טענו המשיבות כי חוק ההסדרה נועד להתגבר על כשל שוק שיוצרת החקיקה של הרשות הפלסטינית האוסרת על תושבי האזור הפלסטינים למכור את זכויותיהם במקרקעין לתושבים ישראלים, חרף רצונם לעשות כן (התכלית החמישית </w:t>
      </w:r>
      <w:r w:rsidR="00F9430F" w:rsidRPr="00643EF4">
        <w:rPr>
          <w:rFonts w:hint="cs"/>
          <w:rtl/>
        </w:rPr>
        <w:t>ש</w:t>
      </w:r>
      <w:r w:rsidRPr="00643EF4">
        <w:rPr>
          <w:rFonts w:hint="cs"/>
          <w:rtl/>
        </w:rPr>
        <w:t xml:space="preserve">עליה עמדו הממשלה, הכנסת ומועצת מטה בנימין); כי העלות הכרוכה בהריסת בתי התושבים הישראלים באזור שנבנו שלא כדין, תוך פיצוי התושבים והסדרת מגורים חלופיים, עולה על העלות הכרוכה בהסדרת הבינוי; וכי במקרים רבים אין לבעלים הפלסטיני אפשרות מעשית לנצל את המקרקעין שלו, שכן הם "כלואים" בלב התיישבות ישראלית (התכלית הרביעית </w:t>
      </w:r>
      <w:r w:rsidR="00FF3D06" w:rsidRPr="00643EF4">
        <w:rPr>
          <w:rFonts w:hint="cs"/>
          <w:rtl/>
        </w:rPr>
        <w:t>ש</w:t>
      </w:r>
      <w:r w:rsidRPr="00643EF4">
        <w:rPr>
          <w:rFonts w:hint="cs"/>
          <w:rtl/>
        </w:rPr>
        <w:t xml:space="preserve">עליה עמדו הממשלה, הכנסת ומועצת מטה בנימין). </w:t>
      </w:r>
    </w:p>
    <w:p w14:paraId="38A62A8E"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59BB4DFF" w14:textId="1816C559"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טענות אלה הועלו על-ידי המשיבות ללא ביסוס מספיק ו</w:t>
      </w:r>
      <w:r w:rsidRPr="00643EF4">
        <w:rPr>
          <w:rFonts w:ascii="Century" w:hAnsi="Century" w:cs="FrankRuehl" w:hint="cs"/>
          <w:spacing w:val="10"/>
          <w:sz w:val="22"/>
          <w:szCs w:val="28"/>
          <w:rtl/>
        </w:rPr>
        <w:t xml:space="preserve">לא הונחו בפנינו נתונים מתאימים אשר יש בהם כדי לתמוך בקביעה כי התכליות הנטענות אכן עומדות בבסיס חוק ההסדרה. כך באשר לטענה בדבר החיסכון לקופה הציבורית כתוצאה מיישום ההסדר הקבוע בחוק ובדבר היקפו וכך גם באשר להסדרים חלופיים ועלותם. כמו כן, לא הובאו </w:t>
      </w:r>
      <w:r w:rsidRPr="00643EF4">
        <w:rPr>
          <w:rFonts w:ascii="Century" w:hAnsi="Century" w:cs="FrankRuehl" w:hint="cs"/>
          <w:spacing w:val="10"/>
          <w:sz w:val="22"/>
          <w:szCs w:val="28"/>
          <w:rtl/>
        </w:rPr>
        <w:lastRenderedPageBreak/>
        <w:t xml:space="preserve">בפנינו נתונים כלשהם באשר </w:t>
      </w:r>
      <w:r w:rsidRPr="00643EF4">
        <w:rPr>
          <w:rFonts w:ascii="Garamond" w:hAnsi="Garamond" w:cs="FrankRuehl" w:hint="cs"/>
          <w:spacing w:val="10"/>
          <w:sz w:val="24"/>
          <w:szCs w:val="28"/>
          <w:rtl/>
        </w:rPr>
        <w:t>להיקף התופעה הנטענת בדבר מקרקעין "הכלואים" בלב התיישבות ישראלית או באשר לתופעה לפיה ישנם תושבים פלסטינים המעוניינים למכור את זכויותיהם במקרקעין</w:t>
      </w:r>
      <w:r w:rsidR="00FF3D06" w:rsidRPr="00643EF4">
        <w:rPr>
          <w:rFonts w:ascii="Garamond" w:hAnsi="Garamond" w:cs="FrankRuehl" w:hint="cs"/>
          <w:spacing w:val="10"/>
          <w:sz w:val="24"/>
          <w:szCs w:val="28"/>
          <w:rtl/>
        </w:rPr>
        <w:t>,</w:t>
      </w:r>
      <w:r w:rsidRPr="00643EF4">
        <w:rPr>
          <w:rFonts w:ascii="Garamond" w:hAnsi="Garamond" w:cs="FrankRuehl" w:hint="cs"/>
          <w:spacing w:val="10"/>
          <w:sz w:val="24"/>
          <w:szCs w:val="28"/>
          <w:rtl/>
        </w:rPr>
        <w:t xml:space="preserve"> אך אינם עושים כן בשל איסורים החלים עליהם בהקשר זה. זאת ועוד, כבר נפסק בעבר </w:t>
      </w:r>
      <w:r w:rsidRPr="00643EF4">
        <w:rPr>
          <w:rFonts w:ascii="Century" w:hAnsi="Century" w:cs="FrankRuehl" w:hint="cs"/>
          <w:spacing w:val="10"/>
          <w:sz w:val="22"/>
          <w:szCs w:val="28"/>
          <w:rtl/>
        </w:rPr>
        <w:t xml:space="preserve">כי "[ה]חיסכון הכספי כשלעצמו" אין בו כדי לבסס תכלית ראויה </w:t>
      </w:r>
      <w:r w:rsidRPr="00643EF4">
        <w:rPr>
          <w:rFonts w:ascii="Garamond" w:hAnsi="Garamond" w:cs="FrankRuehl" w:hint="cs"/>
          <w:spacing w:val="10"/>
          <w:sz w:val="24"/>
          <w:szCs w:val="28"/>
          <w:rtl/>
        </w:rPr>
        <w:t xml:space="preserve">(עניין </w:t>
      </w:r>
      <w:r w:rsidRPr="00643EF4">
        <w:rPr>
          <w:rFonts w:ascii="Century" w:hAnsi="Century" w:cs="Miriam" w:hint="cs"/>
          <w:b/>
          <w:sz w:val="22"/>
          <w:rtl/>
        </w:rPr>
        <w:t>חוף עזה</w:t>
      </w:r>
      <w:r w:rsidRPr="00643EF4">
        <w:rPr>
          <w:rFonts w:ascii="Century" w:hAnsi="Century" w:cs="FrankRuehl" w:hint="cs"/>
          <w:spacing w:val="10"/>
          <w:sz w:val="22"/>
          <w:szCs w:val="28"/>
          <w:rtl/>
        </w:rPr>
        <w:t xml:space="preserve">, בעמ' 640-639; ראו עוד בג"ץ 5578/02 </w:t>
      </w:r>
      <w:r w:rsidRPr="00643EF4">
        <w:rPr>
          <w:rFonts w:ascii="Century" w:hAnsi="Century" w:cs="Miriam" w:hint="cs"/>
          <w:b/>
          <w:sz w:val="22"/>
          <w:rtl/>
        </w:rPr>
        <w:t>מנור נ' שר האוצר</w:t>
      </w:r>
      <w:r w:rsidRPr="00643EF4">
        <w:rPr>
          <w:rFonts w:ascii="Century" w:hAnsi="Century" w:cs="FrankRuehl" w:hint="cs"/>
          <w:spacing w:val="10"/>
          <w:sz w:val="22"/>
          <w:szCs w:val="28"/>
          <w:rtl/>
        </w:rPr>
        <w:t xml:space="preserve">, פ"ד נט(1) 729, 740 (2004)), והוא הדין בשיקולים של נוחות ויעילות מינהלית גרידא הנובעים מעצם יצירתו של מנגנון פשוט, קל ונוח ליישום חלף הליך של בחינה פרטנית (השוו עניין </w:t>
      </w:r>
      <w:r w:rsidRPr="00643EF4">
        <w:rPr>
          <w:rFonts w:ascii="Century" w:hAnsi="Century" w:cs="Miriam" w:hint="cs"/>
          <w:b/>
          <w:sz w:val="22"/>
          <w:rtl/>
        </w:rPr>
        <w:t>חוף עזה</w:t>
      </w:r>
      <w:r w:rsidRPr="00643EF4">
        <w:rPr>
          <w:rFonts w:ascii="Century" w:hAnsi="Century" w:cs="FrankRuehl" w:hint="cs"/>
          <w:spacing w:val="10"/>
          <w:sz w:val="22"/>
          <w:szCs w:val="28"/>
          <w:rtl/>
        </w:rPr>
        <w:t xml:space="preserve">, </w:t>
      </w:r>
      <w:r w:rsidRPr="00643EF4">
        <w:rPr>
          <w:rFonts w:ascii="Century" w:hAnsi="Century" w:cs="FrankRuehl" w:hint="eastAsia"/>
          <w:spacing w:val="10"/>
          <w:sz w:val="22"/>
          <w:szCs w:val="28"/>
          <w:rtl/>
        </w:rPr>
        <w:t>בעמ</w:t>
      </w:r>
      <w:r w:rsidRPr="00643EF4">
        <w:rPr>
          <w:rFonts w:ascii="Century" w:hAnsi="Century" w:cs="FrankRuehl"/>
          <w:spacing w:val="10"/>
          <w:sz w:val="22"/>
          <w:szCs w:val="28"/>
          <w:rtl/>
        </w:rPr>
        <w:t>' 641-639</w:t>
      </w:r>
      <w:r w:rsidRPr="00643EF4">
        <w:rPr>
          <w:rFonts w:ascii="Century" w:hAnsi="Century" w:cs="FrankRuehl" w:hint="cs"/>
          <w:spacing w:val="10"/>
          <w:sz w:val="22"/>
          <w:szCs w:val="28"/>
          <w:rtl/>
        </w:rPr>
        <w:t xml:space="preserve">). </w:t>
      </w:r>
    </w:p>
    <w:p w14:paraId="01AC0343"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3F05C9BA"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r w:rsidRPr="00643EF4">
        <w:rPr>
          <w:rFonts w:ascii="Arial TUR" w:hAnsi="Arial TUR" w:cs="FrankRuehl"/>
          <w:spacing w:val="10"/>
          <w:sz w:val="22"/>
          <w:szCs w:val="28"/>
          <w:rtl/>
        </w:rPr>
        <w:tab/>
      </w:r>
      <w:r w:rsidRPr="00643EF4">
        <w:rPr>
          <w:rFonts w:ascii="Arial TUR" w:hAnsi="Arial TUR" w:cs="FrankRuehl" w:hint="cs"/>
          <w:spacing w:val="10"/>
          <w:sz w:val="22"/>
          <w:szCs w:val="28"/>
          <w:rtl/>
        </w:rPr>
        <w:t xml:space="preserve">להלן אמקד, איפוא, את הדיון בשתי התכליות המרכזיות של החוק שעליהן עמדתי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התכלית המערכתית והתכלית האנושית.</w:t>
      </w:r>
    </w:p>
    <w:p w14:paraId="5C18BABD"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3BC0D128" w14:textId="4F21A1A6" w:rsidR="00190218" w:rsidRPr="00643EF4" w:rsidRDefault="00190218" w:rsidP="00190218">
      <w:pPr>
        <w:pStyle w:val="Ruller4"/>
        <w:rPr>
          <w:rtl/>
        </w:rPr>
      </w:pPr>
      <w:r w:rsidRPr="00643EF4">
        <w:rPr>
          <w:rFonts w:hint="cs"/>
          <w:rtl/>
        </w:rPr>
        <w:t xml:space="preserve">תכלית החקיקה תמצא ראויה אם היא נועדה "להגן על זכויות אדם או להגשים מטרה ציבורית או חברתית חשובה, לצורך קיומה של תשתית לחיים בצוותא במסגרת חברתית המבקשת להגן על זכויות אדם ולקדמן" (עניין </w:t>
      </w:r>
      <w:r w:rsidRPr="00643EF4">
        <w:rPr>
          <w:rFonts w:ascii="Century" w:hAnsi="Century" w:cs="Miriam" w:hint="cs"/>
          <w:b/>
          <w:sz w:val="22"/>
          <w:szCs w:val="24"/>
          <w:rtl/>
        </w:rPr>
        <w:t>הפרטת בית הסוהר</w:t>
      </w:r>
      <w:r w:rsidRPr="00643EF4">
        <w:rPr>
          <w:rFonts w:ascii="Century" w:hAnsi="Century" w:hint="cs"/>
          <w:sz w:val="22"/>
          <w:rtl/>
        </w:rPr>
        <w:t xml:space="preserve">, פסקה </w:t>
      </w:r>
      <w:r w:rsidRPr="00643EF4">
        <w:rPr>
          <w:rFonts w:hint="cs"/>
          <w:rtl/>
        </w:rPr>
        <w:t xml:space="preserve">45 לחוות הדעת של הנשיאה </w:t>
      </w:r>
      <w:r w:rsidRPr="00643EF4">
        <w:rPr>
          <w:rFonts w:ascii="Century" w:hAnsi="Century" w:cs="Miriam" w:hint="cs"/>
          <w:b/>
          <w:sz w:val="22"/>
          <w:szCs w:val="24"/>
          <w:rtl/>
        </w:rPr>
        <w:t>ד' ביניש</w:t>
      </w:r>
      <w:r w:rsidRPr="00643EF4">
        <w:rPr>
          <w:rFonts w:hint="cs"/>
          <w:rtl/>
        </w:rPr>
        <w:t xml:space="preserve">; </w:t>
      </w:r>
      <w:r w:rsidRPr="00643EF4">
        <w:rPr>
          <w:rFonts w:ascii="Century" w:hAnsi="Century" w:hint="cs"/>
          <w:sz w:val="22"/>
          <w:rtl/>
        </w:rPr>
        <w:t xml:space="preserve">בג"ץ 7385/13 </w:t>
      </w:r>
      <w:r w:rsidRPr="00643EF4">
        <w:rPr>
          <w:rFonts w:ascii="Century" w:hAnsi="Century" w:cs="Miriam" w:hint="cs"/>
          <w:b/>
          <w:sz w:val="22"/>
          <w:szCs w:val="24"/>
          <w:rtl/>
        </w:rPr>
        <w:t xml:space="preserve">איתן </w:t>
      </w:r>
      <w:r w:rsidRPr="00643EF4">
        <w:rPr>
          <w:rFonts w:ascii="Century" w:hAnsi="Century" w:cs="Miriam"/>
          <w:b/>
          <w:sz w:val="22"/>
          <w:szCs w:val="24"/>
          <w:rtl/>
        </w:rPr>
        <w:t>–</w:t>
      </w:r>
      <w:r w:rsidRPr="00643EF4">
        <w:rPr>
          <w:rFonts w:ascii="Century" w:hAnsi="Century" w:cs="Miriam" w:hint="cs"/>
          <w:b/>
          <w:sz w:val="22"/>
          <w:szCs w:val="24"/>
          <w:rtl/>
        </w:rPr>
        <w:t xml:space="preserve"> מדיניות הגירה ישראלית נ' ממשלת ישראל</w:t>
      </w:r>
      <w:r w:rsidRPr="00643EF4">
        <w:rPr>
          <w:rFonts w:ascii="Century" w:hAnsi="Century" w:hint="cs"/>
          <w:sz w:val="22"/>
          <w:rtl/>
        </w:rPr>
        <w:t xml:space="preserve">, פסקה 25 לחוות דעתו של השופט </w:t>
      </w:r>
      <w:r w:rsidRPr="00643EF4">
        <w:rPr>
          <w:rFonts w:ascii="Century" w:hAnsi="Century" w:cs="Miriam" w:hint="cs"/>
          <w:b/>
          <w:sz w:val="22"/>
          <w:szCs w:val="24"/>
          <w:rtl/>
        </w:rPr>
        <w:t>ע' פוגלמן</w:t>
      </w:r>
      <w:r w:rsidRPr="00643EF4">
        <w:rPr>
          <w:rFonts w:ascii="Century" w:hAnsi="Century" w:hint="cs"/>
          <w:sz w:val="22"/>
          <w:rtl/>
        </w:rPr>
        <w:t xml:space="preserve"> (22.9.2014) (להלן: עניין </w:t>
      </w:r>
      <w:r w:rsidRPr="00643EF4">
        <w:rPr>
          <w:rFonts w:ascii="Century" w:hAnsi="Century" w:cs="Miriam" w:hint="cs"/>
          <w:b/>
          <w:sz w:val="22"/>
          <w:szCs w:val="24"/>
          <w:rtl/>
        </w:rPr>
        <w:t>איתן</w:t>
      </w:r>
      <w:r w:rsidRPr="00643EF4">
        <w:rPr>
          <w:rFonts w:ascii="Century" w:hAnsi="Century" w:hint="cs"/>
          <w:sz w:val="22"/>
          <w:rtl/>
        </w:rPr>
        <w:t>)</w:t>
      </w:r>
      <w:r w:rsidRPr="00643EF4">
        <w:rPr>
          <w:rFonts w:hint="cs"/>
          <w:rtl/>
        </w:rPr>
        <w:t>). בהקשר זה כבר נפסק כי ככל שהזכות הנפגעת היא בעלת חשיבות רבה יותר וככל שהפגיעה בה חריפה ומקיפה יותר, כך תידרש מטרה חשובה ומהותית יותר על מנת שהחוק יצלח את מבחן "תכלית החקיקה" (</w:t>
      </w:r>
      <w:r w:rsidRPr="00643EF4">
        <w:rPr>
          <w:rFonts w:ascii="Century" w:hAnsi="Century" w:hint="cs"/>
          <w:sz w:val="22"/>
          <w:rtl/>
        </w:rPr>
        <w:t>בג</w:t>
      </w:r>
      <w:r w:rsidRPr="00643EF4">
        <w:rPr>
          <w:rFonts w:hint="cs"/>
          <w:rtl/>
        </w:rPr>
        <w:t xml:space="preserve">"ץ 6304/09 </w:t>
      </w:r>
      <w:r w:rsidRPr="00643EF4">
        <w:rPr>
          <w:rFonts w:ascii="Century" w:hAnsi="Century" w:cs="Miriam" w:hint="cs"/>
          <w:b/>
          <w:sz w:val="22"/>
          <w:szCs w:val="24"/>
          <w:rtl/>
        </w:rPr>
        <w:t xml:space="preserve">לה"ב </w:t>
      </w:r>
      <w:r w:rsidRPr="00643EF4">
        <w:rPr>
          <w:rFonts w:ascii="Century" w:hAnsi="Century" w:cs="Miriam"/>
          <w:b/>
          <w:sz w:val="22"/>
          <w:szCs w:val="24"/>
          <w:rtl/>
        </w:rPr>
        <w:t>–</w:t>
      </w:r>
      <w:r w:rsidRPr="00643EF4">
        <w:rPr>
          <w:rFonts w:ascii="Century" w:hAnsi="Century" w:cs="Miriam" w:hint="cs"/>
          <w:b/>
          <w:sz w:val="22"/>
          <w:szCs w:val="24"/>
          <w:rtl/>
        </w:rPr>
        <w:t xml:space="preserve"> לשכת ארגוני העצמאים והעסקים בישראל נ' היועץ המשפטי לממשלה</w:t>
      </w:r>
      <w:r w:rsidRPr="00643EF4">
        <w:rPr>
          <w:rFonts w:ascii="Century" w:hAnsi="Century" w:hint="cs"/>
          <w:sz w:val="22"/>
          <w:rtl/>
        </w:rPr>
        <w:t>, פסקה 107 (2.9.2010);</w:t>
      </w:r>
      <w:r w:rsidRPr="00643EF4">
        <w:rPr>
          <w:rFonts w:hint="cs"/>
          <w:rtl/>
        </w:rPr>
        <w:t xml:space="preserve"> בג"ץ </w:t>
      </w:r>
      <w:r w:rsidRPr="00643EF4">
        <w:rPr>
          <w:rtl/>
        </w:rPr>
        <w:t>466/07</w:t>
      </w:r>
      <w:r w:rsidRPr="00643EF4">
        <w:rPr>
          <w:rFonts w:hint="cs"/>
          <w:rtl/>
        </w:rPr>
        <w:t xml:space="preserve"> </w:t>
      </w:r>
      <w:r w:rsidRPr="00643EF4">
        <w:rPr>
          <w:rFonts w:ascii="Century" w:hAnsi="Century" w:cs="Miriam" w:hint="cs"/>
          <w:b/>
          <w:szCs w:val="24"/>
          <w:rtl/>
        </w:rPr>
        <w:t>גלאון נ' היועץ המשפטי לממשלה</w:t>
      </w:r>
      <w:r w:rsidRPr="00643EF4">
        <w:rPr>
          <w:rFonts w:ascii="Century" w:hAnsi="Century" w:hint="cs"/>
          <w:rtl/>
        </w:rPr>
        <w:t>,</w:t>
      </w:r>
      <w:r w:rsidRPr="00643EF4">
        <w:rPr>
          <w:rFonts w:ascii="Century" w:hAnsi="Century" w:cs="Miriam" w:hint="cs"/>
          <w:b/>
          <w:szCs w:val="24"/>
          <w:rtl/>
        </w:rPr>
        <w:t xml:space="preserve"> </w:t>
      </w:r>
      <w:r w:rsidRPr="00643EF4">
        <w:rPr>
          <w:rFonts w:hint="cs"/>
          <w:rtl/>
        </w:rPr>
        <w:t xml:space="preserve">פסקה 22 לחוות דעתו של השופט </w:t>
      </w:r>
      <w:r w:rsidRPr="00643EF4">
        <w:rPr>
          <w:rFonts w:ascii="Century" w:hAnsi="Century" w:cs="Miriam" w:hint="cs"/>
          <w:b/>
          <w:szCs w:val="24"/>
          <w:rtl/>
        </w:rPr>
        <w:t>א' א' לוי</w:t>
      </w:r>
      <w:r w:rsidRPr="00643EF4">
        <w:rPr>
          <w:rFonts w:hint="cs"/>
          <w:rtl/>
        </w:rPr>
        <w:t xml:space="preserve"> (11.1.2012);</w:t>
      </w:r>
      <w:r w:rsidRPr="00643EF4">
        <w:rPr>
          <w:rFonts w:ascii="Century" w:hAnsi="Century" w:cs="Miriam" w:hint="cs"/>
          <w:b/>
          <w:sz w:val="22"/>
          <w:szCs w:val="24"/>
          <w:rtl/>
        </w:rPr>
        <w:t xml:space="preserve"> </w:t>
      </w:r>
      <w:r w:rsidRPr="00643EF4">
        <w:rPr>
          <w:rFonts w:hint="cs"/>
          <w:rtl/>
        </w:rPr>
        <w:t xml:space="preserve">עניין </w:t>
      </w:r>
      <w:r w:rsidRPr="00643EF4">
        <w:rPr>
          <w:rFonts w:ascii="Century" w:hAnsi="Century" w:cs="Miriam" w:hint="cs"/>
          <w:b/>
          <w:sz w:val="22"/>
          <w:szCs w:val="24"/>
          <w:rtl/>
        </w:rPr>
        <w:t>איתן</w:t>
      </w:r>
      <w:r w:rsidRPr="00643EF4">
        <w:rPr>
          <w:rFonts w:ascii="Century" w:hAnsi="Century" w:hint="cs"/>
          <w:sz w:val="22"/>
          <w:rtl/>
        </w:rPr>
        <w:t>, פסקה 25</w:t>
      </w:r>
      <w:r w:rsidRPr="00643EF4">
        <w:rPr>
          <w:rFonts w:ascii="Century" w:hAnsi="Century"/>
          <w:sz w:val="22"/>
          <w:rtl/>
        </w:rPr>
        <w:t xml:space="preserve"> </w:t>
      </w:r>
      <w:r w:rsidRPr="00643EF4">
        <w:rPr>
          <w:rFonts w:ascii="Century" w:hAnsi="Century" w:hint="eastAsia"/>
          <w:sz w:val="22"/>
          <w:rtl/>
        </w:rPr>
        <w:t>לחוות</w:t>
      </w:r>
      <w:r w:rsidRPr="00643EF4">
        <w:rPr>
          <w:rFonts w:ascii="Century" w:hAnsi="Century"/>
          <w:sz w:val="22"/>
          <w:rtl/>
        </w:rPr>
        <w:t xml:space="preserve"> </w:t>
      </w:r>
      <w:r w:rsidRPr="00643EF4">
        <w:rPr>
          <w:rFonts w:ascii="Century" w:hAnsi="Century" w:hint="eastAsia"/>
          <w:sz w:val="22"/>
          <w:rtl/>
        </w:rPr>
        <w:t>דעתו</w:t>
      </w:r>
      <w:r w:rsidRPr="00643EF4">
        <w:rPr>
          <w:rFonts w:ascii="Century" w:hAnsi="Century"/>
          <w:sz w:val="22"/>
          <w:rtl/>
        </w:rPr>
        <w:t xml:space="preserve"> </w:t>
      </w:r>
      <w:r w:rsidRPr="00643EF4">
        <w:rPr>
          <w:rFonts w:ascii="Century" w:hAnsi="Century" w:hint="eastAsia"/>
          <w:sz w:val="22"/>
          <w:rtl/>
        </w:rPr>
        <w:t>של</w:t>
      </w:r>
      <w:r w:rsidRPr="00643EF4">
        <w:rPr>
          <w:rFonts w:ascii="Century" w:hAnsi="Century"/>
          <w:sz w:val="22"/>
          <w:rtl/>
        </w:rPr>
        <w:t xml:space="preserve"> </w:t>
      </w:r>
      <w:r w:rsidRPr="00643EF4">
        <w:rPr>
          <w:rFonts w:ascii="Century" w:hAnsi="Century" w:hint="eastAsia"/>
          <w:sz w:val="22"/>
          <w:rtl/>
        </w:rPr>
        <w:t>השופט</w:t>
      </w:r>
      <w:r w:rsidRPr="00643EF4">
        <w:rPr>
          <w:rFonts w:ascii="Century" w:hAnsi="Century"/>
          <w:sz w:val="22"/>
          <w:rtl/>
        </w:rPr>
        <w:t xml:space="preserve"> </w:t>
      </w:r>
      <w:r w:rsidRPr="00643EF4">
        <w:rPr>
          <w:rFonts w:ascii="Century" w:hAnsi="Century" w:cs="Miriam" w:hint="eastAsia"/>
          <w:b/>
          <w:sz w:val="22"/>
          <w:szCs w:val="24"/>
          <w:rtl/>
        </w:rPr>
        <w:t>ע</w:t>
      </w:r>
      <w:r w:rsidRPr="00643EF4">
        <w:rPr>
          <w:rFonts w:ascii="Century" w:hAnsi="Century" w:cs="Miriam"/>
          <w:b/>
          <w:sz w:val="22"/>
          <w:szCs w:val="24"/>
          <w:rtl/>
        </w:rPr>
        <w:t xml:space="preserve">' </w:t>
      </w:r>
      <w:r w:rsidRPr="00643EF4">
        <w:rPr>
          <w:rFonts w:ascii="Century" w:hAnsi="Century" w:cs="Miriam" w:hint="eastAsia"/>
          <w:b/>
          <w:sz w:val="22"/>
          <w:szCs w:val="24"/>
          <w:rtl/>
        </w:rPr>
        <w:t>פוגלמן</w:t>
      </w:r>
      <w:r w:rsidRPr="00643EF4">
        <w:rPr>
          <w:rFonts w:ascii="Century" w:hAnsi="Century"/>
          <w:sz w:val="22"/>
          <w:rtl/>
        </w:rPr>
        <w:t xml:space="preserve">). </w:t>
      </w:r>
      <w:r w:rsidRPr="00643EF4">
        <w:rPr>
          <w:rFonts w:hint="eastAsia"/>
          <w:rtl/>
        </w:rPr>
        <w:t>עמד</w:t>
      </w:r>
      <w:r w:rsidRPr="00643EF4">
        <w:rPr>
          <w:rFonts w:hint="cs"/>
          <w:rtl/>
        </w:rPr>
        <w:t xml:space="preserve"> על כך הנשיא </w:t>
      </w:r>
      <w:r w:rsidRPr="00643EF4">
        <w:rPr>
          <w:rFonts w:ascii="Century" w:hAnsi="Century" w:cs="Miriam" w:hint="cs"/>
          <w:b/>
          <w:sz w:val="22"/>
          <w:szCs w:val="24"/>
          <w:rtl/>
        </w:rPr>
        <w:t>א' ברק</w:t>
      </w:r>
      <w:r w:rsidRPr="00643EF4">
        <w:rPr>
          <w:rFonts w:ascii="Century" w:hAnsi="Century" w:hint="cs"/>
          <w:sz w:val="22"/>
          <w:rtl/>
        </w:rPr>
        <w:t xml:space="preserve"> ב</w:t>
      </w:r>
      <w:r w:rsidRPr="00643EF4">
        <w:rPr>
          <w:rFonts w:hint="cs"/>
          <w:rtl/>
        </w:rPr>
        <w:t xml:space="preserve">בג"ץ 8276/05 </w:t>
      </w:r>
      <w:r w:rsidRPr="00643EF4">
        <w:rPr>
          <w:rFonts w:ascii="Century" w:hAnsi="Century" w:cs="Miriam" w:hint="cs"/>
          <w:b/>
          <w:szCs w:val="24"/>
          <w:rtl/>
        </w:rPr>
        <w:t xml:space="preserve">עדאלה </w:t>
      </w:r>
      <w:r w:rsidRPr="00643EF4">
        <w:rPr>
          <w:rFonts w:ascii="Century" w:hAnsi="Century" w:cs="Miriam"/>
          <w:b/>
          <w:szCs w:val="24"/>
          <w:rtl/>
        </w:rPr>
        <w:t>–</w:t>
      </w:r>
      <w:r w:rsidRPr="00643EF4">
        <w:rPr>
          <w:rFonts w:ascii="Century" w:hAnsi="Century" w:cs="Miriam" w:hint="cs"/>
          <w:b/>
          <w:szCs w:val="24"/>
          <w:rtl/>
        </w:rPr>
        <w:t xml:space="preserve"> המרכז המשפטי לזכויות המיעוט הערבי בישראל נ' שר הביטחון</w:t>
      </w:r>
      <w:r w:rsidRPr="00643EF4">
        <w:rPr>
          <w:rFonts w:ascii="Century" w:hAnsi="Century" w:hint="cs"/>
          <w:rtl/>
        </w:rPr>
        <w:t xml:space="preserve">, פ"ד סב(1) 1 (2006) </w:t>
      </w:r>
      <w:r w:rsidRPr="00643EF4">
        <w:rPr>
          <w:rFonts w:ascii="Century" w:hAnsi="Century"/>
          <w:rtl/>
        </w:rPr>
        <w:t>(</w:t>
      </w:r>
      <w:r w:rsidRPr="00643EF4">
        <w:rPr>
          <w:rFonts w:ascii="Century" w:hAnsi="Century" w:hint="eastAsia"/>
          <w:rtl/>
        </w:rPr>
        <w:t>להלן</w:t>
      </w:r>
      <w:r w:rsidRPr="00643EF4">
        <w:rPr>
          <w:rFonts w:ascii="Century" w:hAnsi="Century"/>
          <w:rtl/>
        </w:rPr>
        <w:t xml:space="preserve">: </w:t>
      </w:r>
      <w:r w:rsidRPr="00643EF4">
        <w:rPr>
          <w:rFonts w:ascii="Century" w:hAnsi="Century" w:hint="eastAsia"/>
          <w:rtl/>
        </w:rPr>
        <w:t>עניין</w:t>
      </w:r>
      <w:r w:rsidRPr="00643EF4">
        <w:rPr>
          <w:rFonts w:ascii="Century" w:hAnsi="Century"/>
          <w:rtl/>
        </w:rPr>
        <w:t xml:space="preserve"> </w:t>
      </w:r>
      <w:r w:rsidRPr="00643EF4">
        <w:rPr>
          <w:rFonts w:ascii="Century" w:hAnsi="Century" w:cs="Miriam" w:hint="eastAsia"/>
          <w:b/>
          <w:szCs w:val="24"/>
          <w:rtl/>
        </w:rPr>
        <w:t>הנזיקים</w:t>
      </w:r>
      <w:r w:rsidRPr="00643EF4">
        <w:rPr>
          <w:rFonts w:ascii="Century" w:hAnsi="Century" w:cs="Miriam"/>
          <w:b/>
          <w:szCs w:val="24"/>
          <w:rtl/>
        </w:rPr>
        <w:t xml:space="preserve"> </w:t>
      </w:r>
      <w:r w:rsidRPr="00643EF4">
        <w:rPr>
          <w:rFonts w:ascii="Century" w:hAnsi="Century" w:cs="Miriam" w:hint="eastAsia"/>
          <w:b/>
          <w:szCs w:val="24"/>
          <w:rtl/>
        </w:rPr>
        <w:t>האזרחיים</w:t>
      </w:r>
      <w:r w:rsidRPr="00643EF4">
        <w:rPr>
          <w:rFonts w:ascii="Century" w:hAnsi="Century"/>
          <w:rtl/>
        </w:rPr>
        <w:t>)</w:t>
      </w:r>
      <w:r w:rsidRPr="00643EF4">
        <w:rPr>
          <w:rFonts w:ascii="Century" w:hAnsi="Century" w:hint="cs"/>
          <w:sz w:val="22"/>
          <w:rtl/>
        </w:rPr>
        <w:t xml:space="preserve"> בציינו "</w:t>
      </w:r>
      <w:r w:rsidRPr="00643EF4">
        <w:rPr>
          <w:rFonts w:hint="cs"/>
          <w:sz w:val="28"/>
          <w:rtl/>
        </w:rPr>
        <w:t>כאשר הפגיעה היא בזכות מרכזית – כגון החיים, החירות, כבוד האדם, הקניין, הפרטיות – התכלית צריכה להגשים מטרה חברתית מהותית, או צורך חברתי לוחץ</w:t>
      </w:r>
      <w:r w:rsidRPr="00643EF4">
        <w:rPr>
          <w:rFonts w:hint="cs"/>
          <w:rtl/>
        </w:rPr>
        <w:t xml:space="preserve">" (פסקה 28). </w:t>
      </w:r>
    </w:p>
    <w:p w14:paraId="6F24C5F8"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70CB9E25" w14:textId="77777777" w:rsidR="00190218" w:rsidRPr="00643EF4" w:rsidRDefault="00190218" w:rsidP="00190218">
      <w:pPr>
        <w:tabs>
          <w:tab w:val="left" w:pos="800"/>
        </w:tabs>
        <w:spacing w:line="360" w:lineRule="auto"/>
        <w:jc w:val="both"/>
        <w:rPr>
          <w:rFonts w:ascii="Century" w:hAnsi="Century" w:cs="FrankRuehl"/>
          <w:spacing w:val="10"/>
          <w:sz w:val="22"/>
          <w:szCs w:val="28"/>
          <w:rtl/>
        </w:rPr>
      </w:pPr>
      <w:r w:rsidRPr="00643EF4">
        <w:rPr>
          <w:rFonts w:ascii="Century" w:hAnsi="Century" w:cs="FrankRuehl"/>
          <w:spacing w:val="10"/>
          <w:sz w:val="22"/>
          <w:szCs w:val="28"/>
          <w:rtl/>
        </w:rPr>
        <w:tab/>
      </w:r>
      <w:r w:rsidRPr="00643EF4">
        <w:rPr>
          <w:rFonts w:ascii="Century" w:hAnsi="Century" w:cs="FrankRuehl" w:hint="cs"/>
          <w:spacing w:val="10"/>
          <w:sz w:val="22"/>
          <w:szCs w:val="28"/>
          <w:rtl/>
        </w:rPr>
        <w:t xml:space="preserve">נבחן את התכליות כסדרן. </w:t>
      </w:r>
    </w:p>
    <w:p w14:paraId="4E7EF6BD"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77CC8FE4"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 xml:space="preserve">(1) התכלית המערכתית </w:t>
      </w:r>
    </w:p>
    <w:p w14:paraId="7DB918DB" w14:textId="77777777" w:rsidR="00190218" w:rsidRPr="00643EF4" w:rsidRDefault="00190218" w:rsidP="00190218">
      <w:pPr>
        <w:tabs>
          <w:tab w:val="left" w:pos="800"/>
        </w:tabs>
        <w:spacing w:line="360" w:lineRule="auto"/>
        <w:jc w:val="both"/>
        <w:rPr>
          <w:rFonts w:ascii="Century" w:hAnsi="Century" w:cs="Miriam"/>
          <w:b/>
          <w:sz w:val="22"/>
          <w:rtl/>
        </w:rPr>
      </w:pPr>
    </w:p>
    <w:p w14:paraId="40FB93A7" w14:textId="205D421C" w:rsidR="00190218" w:rsidRPr="00643EF4" w:rsidRDefault="00190218" w:rsidP="00190218">
      <w:pPr>
        <w:pStyle w:val="Ruller4"/>
        <w:rPr>
          <w:rtl/>
        </w:rPr>
      </w:pPr>
      <w:r w:rsidRPr="00643EF4">
        <w:rPr>
          <w:rFonts w:hint="cs"/>
          <w:rtl/>
        </w:rPr>
        <w:t xml:space="preserve">התכלית המערכתית של החוק היא, כאמור, </w:t>
      </w:r>
      <w:r w:rsidRPr="00643EF4">
        <w:rPr>
          <w:rFonts w:hint="eastAsia"/>
          <w:rtl/>
        </w:rPr>
        <w:t>ביסוס</w:t>
      </w:r>
      <w:r w:rsidRPr="00643EF4">
        <w:rPr>
          <w:rtl/>
        </w:rPr>
        <w:t xml:space="preserve"> </w:t>
      </w:r>
      <w:r w:rsidRPr="00643EF4">
        <w:rPr>
          <w:rFonts w:hint="eastAsia"/>
          <w:rtl/>
        </w:rPr>
        <w:t>ההתיישבות</w:t>
      </w:r>
      <w:r w:rsidRPr="00643EF4">
        <w:rPr>
          <w:rtl/>
        </w:rPr>
        <w:t xml:space="preserve"> </w:t>
      </w:r>
      <w:r w:rsidRPr="00643EF4">
        <w:rPr>
          <w:rFonts w:hint="eastAsia"/>
          <w:rtl/>
        </w:rPr>
        <w:t>באזור</w:t>
      </w:r>
      <w:r w:rsidRPr="00643EF4">
        <w:rPr>
          <w:rtl/>
        </w:rPr>
        <w:t xml:space="preserve"> </w:t>
      </w:r>
      <w:r w:rsidRPr="00643EF4">
        <w:rPr>
          <w:rFonts w:hint="eastAsia"/>
          <w:rtl/>
        </w:rPr>
        <w:t>בדרך</w:t>
      </w:r>
      <w:r w:rsidRPr="00643EF4">
        <w:rPr>
          <w:rtl/>
        </w:rPr>
        <w:t xml:space="preserve"> </w:t>
      </w:r>
      <w:r w:rsidRPr="00643EF4">
        <w:rPr>
          <w:rFonts w:hint="eastAsia"/>
          <w:rtl/>
        </w:rPr>
        <w:t>של</w:t>
      </w:r>
      <w:r w:rsidRPr="00643EF4">
        <w:rPr>
          <w:rtl/>
        </w:rPr>
        <w:t xml:space="preserve"> </w:t>
      </w:r>
      <w:r w:rsidRPr="00643EF4">
        <w:rPr>
          <w:rFonts w:hint="eastAsia"/>
          <w:rtl/>
        </w:rPr>
        <w:t>הסדרה</w:t>
      </w:r>
      <w:r w:rsidRPr="00643EF4">
        <w:rPr>
          <w:rtl/>
        </w:rPr>
        <w:t xml:space="preserve"> </w:t>
      </w:r>
      <w:r w:rsidRPr="00643EF4">
        <w:rPr>
          <w:rFonts w:hint="eastAsia"/>
          <w:rtl/>
        </w:rPr>
        <w:t>קניינית</w:t>
      </w:r>
      <w:r w:rsidRPr="00643EF4">
        <w:rPr>
          <w:rtl/>
        </w:rPr>
        <w:t xml:space="preserve"> </w:t>
      </w:r>
      <w:r w:rsidRPr="00643EF4">
        <w:rPr>
          <w:rFonts w:hint="eastAsia"/>
          <w:rtl/>
        </w:rPr>
        <w:t>ותכנונית</w:t>
      </w:r>
      <w:r w:rsidRPr="00643EF4">
        <w:rPr>
          <w:rtl/>
        </w:rPr>
        <w:t xml:space="preserve"> </w:t>
      </w:r>
      <w:r w:rsidRPr="00643EF4">
        <w:rPr>
          <w:rFonts w:hint="eastAsia"/>
          <w:rtl/>
        </w:rPr>
        <w:t>בדיעבד</w:t>
      </w:r>
      <w:r w:rsidRPr="00643EF4">
        <w:rPr>
          <w:rtl/>
        </w:rPr>
        <w:t xml:space="preserve"> </w:t>
      </w:r>
      <w:r w:rsidRPr="00643EF4">
        <w:rPr>
          <w:rFonts w:hint="eastAsia"/>
          <w:rtl/>
        </w:rPr>
        <w:t>של</w:t>
      </w:r>
      <w:r w:rsidRPr="00643EF4">
        <w:rPr>
          <w:rtl/>
        </w:rPr>
        <w:t xml:space="preserve"> </w:t>
      </w:r>
      <w:r w:rsidRPr="00643EF4">
        <w:rPr>
          <w:rFonts w:hint="eastAsia"/>
          <w:rtl/>
        </w:rPr>
        <w:t>בנייה</w:t>
      </w:r>
      <w:r w:rsidRPr="00643EF4">
        <w:rPr>
          <w:rtl/>
        </w:rPr>
        <w:t xml:space="preserve"> </w:t>
      </w:r>
      <w:r w:rsidRPr="00643EF4">
        <w:rPr>
          <w:rFonts w:hint="eastAsia"/>
          <w:rtl/>
        </w:rPr>
        <w:t>בלתי</w:t>
      </w:r>
      <w:r w:rsidRPr="00643EF4">
        <w:rPr>
          <w:rtl/>
        </w:rPr>
        <w:t xml:space="preserve"> </w:t>
      </w:r>
      <w:r w:rsidRPr="00643EF4">
        <w:rPr>
          <w:rFonts w:hint="eastAsia"/>
          <w:rtl/>
        </w:rPr>
        <w:t>חוקית</w:t>
      </w:r>
      <w:r w:rsidRPr="00643EF4">
        <w:rPr>
          <w:rtl/>
        </w:rPr>
        <w:t xml:space="preserve"> </w:t>
      </w:r>
      <w:r w:rsidRPr="00643EF4">
        <w:rPr>
          <w:rFonts w:hint="eastAsia"/>
          <w:rtl/>
        </w:rPr>
        <w:t>על</w:t>
      </w:r>
      <w:r w:rsidRPr="00643EF4">
        <w:rPr>
          <w:rtl/>
        </w:rPr>
        <w:t xml:space="preserve"> </w:t>
      </w:r>
      <w:r w:rsidRPr="00643EF4">
        <w:rPr>
          <w:rFonts w:hint="eastAsia"/>
          <w:rtl/>
        </w:rPr>
        <w:t>מקרקעין</w:t>
      </w:r>
      <w:r w:rsidRPr="00643EF4">
        <w:rPr>
          <w:rtl/>
        </w:rPr>
        <w:t xml:space="preserve"> </w:t>
      </w:r>
      <w:r w:rsidRPr="00643EF4">
        <w:rPr>
          <w:rFonts w:hint="eastAsia"/>
          <w:rtl/>
        </w:rPr>
        <w:t>שאינם</w:t>
      </w:r>
      <w:r w:rsidRPr="00643EF4">
        <w:rPr>
          <w:rtl/>
        </w:rPr>
        <w:t xml:space="preserve"> "</w:t>
      </w:r>
      <w:r w:rsidRPr="00643EF4">
        <w:rPr>
          <w:rFonts w:hint="eastAsia"/>
          <w:rtl/>
        </w:rPr>
        <w:t>רכוש</w:t>
      </w:r>
      <w:r w:rsidRPr="00643EF4">
        <w:rPr>
          <w:rtl/>
        </w:rPr>
        <w:t xml:space="preserve"> </w:t>
      </w:r>
      <w:r w:rsidRPr="00643EF4">
        <w:rPr>
          <w:rFonts w:hint="eastAsia"/>
          <w:rtl/>
        </w:rPr>
        <w:t>ממשלתי</w:t>
      </w:r>
      <w:r w:rsidRPr="00643EF4">
        <w:rPr>
          <w:rtl/>
        </w:rPr>
        <w:t>"</w:t>
      </w:r>
      <w:r w:rsidRPr="00643EF4">
        <w:rPr>
          <w:rFonts w:hint="cs"/>
          <w:rtl/>
        </w:rPr>
        <w:t>. תכלית זו של החוק מצריכה התייחסות בשני מישורים: האחד, נוגע ל</w:t>
      </w:r>
      <w:r w:rsidRPr="00643EF4">
        <w:rPr>
          <w:rFonts w:ascii="Century" w:hAnsi="Century" w:cs="Miriam" w:hint="cs"/>
          <w:b/>
          <w:sz w:val="22"/>
          <w:szCs w:val="24"/>
          <w:rtl/>
        </w:rPr>
        <w:t>הסדרה והכשרה בדיעבד של בנייה בלתי חוקית</w:t>
      </w:r>
      <w:r w:rsidRPr="00643EF4">
        <w:rPr>
          <w:rFonts w:hint="cs"/>
          <w:rtl/>
        </w:rPr>
        <w:t xml:space="preserve"> בהיקף גדול והשלכותיה על עיקרון שלטון </w:t>
      </w:r>
      <w:r w:rsidRPr="00643EF4">
        <w:rPr>
          <w:rFonts w:hint="cs"/>
          <w:rtl/>
        </w:rPr>
        <w:lastRenderedPageBreak/>
        <w:t xml:space="preserve">החוק. השני, נוגע ליכולת להצדיק </w:t>
      </w:r>
      <w:r w:rsidRPr="00643EF4">
        <w:rPr>
          <w:rFonts w:ascii="Century" w:hAnsi="Century" w:cs="Miriam" w:hint="cs"/>
          <w:b/>
          <w:sz w:val="22"/>
          <w:szCs w:val="24"/>
          <w:rtl/>
        </w:rPr>
        <w:t>נטילה שלטונית כפויה של מקרקעין</w:t>
      </w:r>
      <w:r w:rsidRPr="00643EF4">
        <w:rPr>
          <w:rFonts w:hint="cs"/>
          <w:rtl/>
        </w:rPr>
        <w:t xml:space="preserve">, בהינתן העובדה שמדובר בהתיישבות ישראלית באזור שהוקמה על מקרקעין שחלק לא מבוטל מהם הוא בבעלות פרטית פלסטינית או שיש מי שטוען לזכויות בהם. </w:t>
      </w:r>
      <w:r w:rsidR="008E699B" w:rsidRPr="00643EF4">
        <w:rPr>
          <w:rFonts w:hint="cs"/>
          <w:rtl/>
        </w:rPr>
        <w:t>ו</w:t>
      </w:r>
      <w:r w:rsidRPr="00643EF4">
        <w:rPr>
          <w:rFonts w:hint="cs"/>
          <w:rtl/>
        </w:rPr>
        <w:t xml:space="preserve">נשאלת השאלה האם נטילה שלטונית כפויה כזו, המהווה למעשה "הפקעה דה פקטו" של מקרקעין מידי האוכלוסייה הפלסטינית לצורך פיתוח והסדרה בדיעבד של התיישבות ישראלית באזור, היא תכלית ראויה.  </w:t>
      </w:r>
    </w:p>
    <w:p w14:paraId="0E5C3E85"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03D7276C"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 xml:space="preserve">הסדרה והכשרה בדיעבד של </w:t>
      </w:r>
      <w:r w:rsidRPr="00643EF4">
        <w:rPr>
          <w:rFonts w:ascii="Century" w:hAnsi="Century" w:cs="Miriam"/>
          <w:b/>
          <w:sz w:val="22"/>
          <w:rtl/>
        </w:rPr>
        <w:t>בנייה בלתי חוקית</w:t>
      </w:r>
    </w:p>
    <w:p w14:paraId="70100910" w14:textId="77777777" w:rsidR="00190218" w:rsidRPr="00643EF4" w:rsidRDefault="00190218" w:rsidP="00190218">
      <w:pPr>
        <w:tabs>
          <w:tab w:val="left" w:pos="800"/>
        </w:tabs>
        <w:spacing w:line="360" w:lineRule="auto"/>
        <w:jc w:val="both"/>
        <w:rPr>
          <w:rFonts w:ascii="Arial TUR" w:hAnsi="Arial TUR" w:cs="FrankRuehl"/>
          <w:spacing w:val="10"/>
          <w:sz w:val="22"/>
          <w:szCs w:val="28"/>
        </w:rPr>
      </w:pPr>
    </w:p>
    <w:p w14:paraId="323898CF" w14:textId="004FE771" w:rsidR="00190218" w:rsidRPr="00643EF4" w:rsidRDefault="00190218" w:rsidP="00190218">
      <w:pPr>
        <w:pStyle w:val="Ruller4"/>
      </w:pPr>
      <w:r w:rsidRPr="00643EF4">
        <w:rPr>
          <w:rFonts w:hint="cs"/>
          <w:rtl/>
        </w:rPr>
        <w:t xml:space="preserve">הסדרה והכשרה בדיעבד של בנייה בלתי חוקית פוגעת בשלטון החוק ויש בה כדי לעודד עבריינות. על כן, כבר נפסק בהקשרים דומים כי לא בנקל ימהר בית משפט זה להושיט סעד "למי שנקט בשיטה של 'נעשה ולאחר מכן נכשיר'" (בג"ץ 696/09 </w:t>
      </w:r>
      <w:r w:rsidRPr="00643EF4">
        <w:rPr>
          <w:rFonts w:cs="Miriam" w:hint="cs"/>
          <w:b/>
          <w:szCs w:val="24"/>
          <w:rtl/>
        </w:rPr>
        <w:t>חזיז נ' מינהל מקרקעי ישראל</w:t>
      </w:r>
      <w:r w:rsidRPr="00643EF4">
        <w:rPr>
          <w:rFonts w:hint="cs"/>
          <w:rtl/>
        </w:rPr>
        <w:t xml:space="preserve">, פסקה 4 (23.2.2011); השוו גם לבג"ץ 1030/99 </w:t>
      </w:r>
      <w:r w:rsidRPr="00643EF4">
        <w:rPr>
          <w:rFonts w:cs="Miriam" w:hint="cs"/>
          <w:b/>
          <w:szCs w:val="24"/>
          <w:rtl/>
        </w:rPr>
        <w:t>אורון נ' יושב-ראש הכנסת</w:t>
      </w:r>
      <w:r w:rsidRPr="00643EF4">
        <w:rPr>
          <w:rFonts w:hint="cs"/>
          <w:rtl/>
        </w:rPr>
        <w:t xml:space="preserve">, פ"ד נו(3) 640, 664 (2002) </w:t>
      </w:r>
      <w:r w:rsidRPr="00643EF4">
        <w:rPr>
          <w:rtl/>
        </w:rPr>
        <w:t>(</w:t>
      </w:r>
      <w:r w:rsidRPr="00643EF4">
        <w:rPr>
          <w:rFonts w:hint="eastAsia"/>
          <w:rtl/>
        </w:rPr>
        <w:t>להלן</w:t>
      </w:r>
      <w:r w:rsidRPr="00643EF4">
        <w:rPr>
          <w:rtl/>
        </w:rPr>
        <w:t xml:space="preserve">: </w:t>
      </w:r>
      <w:r w:rsidRPr="00643EF4">
        <w:rPr>
          <w:rFonts w:ascii="Century" w:hAnsi="Century" w:hint="cs"/>
          <w:sz w:val="22"/>
          <w:rtl/>
        </w:rPr>
        <w:t>עניין</w:t>
      </w:r>
      <w:r w:rsidRPr="00643EF4">
        <w:rPr>
          <w:rFonts w:ascii="Century" w:hAnsi="Century" w:cs="Miriam" w:hint="cs"/>
          <w:b/>
          <w:sz w:val="22"/>
          <w:szCs w:val="24"/>
          <w:rtl/>
        </w:rPr>
        <w:t xml:space="preserve"> אורון</w:t>
      </w:r>
      <w:r w:rsidRPr="00643EF4">
        <w:rPr>
          <w:rFonts w:hint="cs"/>
          <w:rtl/>
        </w:rPr>
        <w:t xml:space="preserve">)). על חומרת הפגיעה בשלטון החוק הנגרמת כתוצאה מבנייה בלתי חוקית ומהכשרתה בדיעבד עמד גם הנשיא </w:t>
      </w:r>
      <w:r w:rsidRPr="00643EF4">
        <w:rPr>
          <w:rFonts w:cs="Miriam" w:hint="cs"/>
          <w:b/>
          <w:szCs w:val="24"/>
          <w:rtl/>
        </w:rPr>
        <w:t>מ' שמגר</w:t>
      </w:r>
      <w:r w:rsidRPr="00643EF4">
        <w:rPr>
          <w:rFonts w:hint="cs"/>
          <w:rtl/>
        </w:rPr>
        <w:t xml:space="preserve"> בר"ע 1/84 </w:t>
      </w:r>
      <w:r w:rsidRPr="00643EF4">
        <w:rPr>
          <w:rFonts w:cs="Miriam" w:hint="cs"/>
          <w:b/>
          <w:szCs w:val="24"/>
          <w:rtl/>
        </w:rPr>
        <w:t>דוויק נ' ראש העיר ירושלים ויושב-ראש הוועדה המקומית לתכנון ולבנייה</w:t>
      </w:r>
      <w:r w:rsidRPr="00643EF4">
        <w:rPr>
          <w:rFonts w:hint="cs"/>
          <w:rtl/>
        </w:rPr>
        <w:t>, פ"ד לח(1) 494 (1984) בציינו:</w:t>
      </w:r>
    </w:p>
    <w:p w14:paraId="404B098D"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Century" w:hAnsi="Century" w:cs="FrankRuehl" w:hint="cs"/>
          <w:spacing w:val="10"/>
          <w:sz w:val="22"/>
          <w:szCs w:val="28"/>
          <w:rtl/>
        </w:rPr>
        <w:t xml:space="preserve"> </w:t>
      </w:r>
    </w:p>
    <w:p w14:paraId="19BA4396" w14:textId="77777777" w:rsidR="00190218" w:rsidRPr="00643EF4" w:rsidRDefault="00190218" w:rsidP="00190218">
      <w:pPr>
        <w:ind w:left="1642" w:right="1282"/>
        <w:jc w:val="both"/>
        <w:rPr>
          <w:rFonts w:ascii="Century" w:hAnsi="Century" w:cs="FrankRuehl"/>
          <w:spacing w:val="10"/>
          <w:sz w:val="22"/>
          <w:szCs w:val="28"/>
          <w:rtl/>
        </w:rPr>
      </w:pPr>
      <w:r w:rsidRPr="00643EF4">
        <w:rPr>
          <w:rFonts w:ascii="Arial TUR" w:hAnsi="Arial TUR" w:cs="FrankRuehl" w:hint="cs"/>
          <w:spacing w:val="10"/>
          <w:sz w:val="22"/>
          <w:szCs w:val="28"/>
          <w:rtl/>
        </w:rPr>
        <w:t>"בנייה שלא כדין היא לא רק תופעה, החותרת תחת התכנון הנאות של הבנייה, אלא השלכותיה מרחיקות לכת יותר: היא בין התופעות הבולטות, הפוגעות בהשלטת החוק. מי שעושה דין לעצמו פוגע באופן הגלוי והברור בהשלטת החוק, והשיקול [...]</w:t>
      </w:r>
      <w:r w:rsidRPr="00643EF4">
        <w:rPr>
          <w:rFonts w:ascii="Arial TUR" w:hAnsi="Arial TUR" w:cs="FrankRuehl"/>
          <w:spacing w:val="10"/>
          <w:sz w:val="22"/>
          <w:szCs w:val="28"/>
        </w:rPr>
        <w:t xml:space="preserve"> </w:t>
      </w:r>
      <w:r w:rsidRPr="00643EF4">
        <w:rPr>
          <w:rFonts w:ascii="Arial TUR" w:hAnsi="Arial TUR" w:cs="FrankRuehl" w:hint="cs"/>
          <w:spacing w:val="10"/>
          <w:sz w:val="22"/>
          <w:szCs w:val="28"/>
          <w:rtl/>
        </w:rPr>
        <w:t>כי יש למנוע עובדות מוגמרות, המעוגנות במעשה בלתי חוקי, אין לגלות בו פגם"</w:t>
      </w:r>
      <w:r w:rsidRPr="00643EF4">
        <w:rPr>
          <w:rFonts w:ascii="Century" w:hAnsi="Century" w:cs="FrankRuehl" w:hint="cs"/>
          <w:spacing w:val="10"/>
          <w:sz w:val="22"/>
          <w:szCs w:val="28"/>
          <w:rtl/>
        </w:rPr>
        <w:t xml:space="preserve"> (</w:t>
      </w:r>
      <w:r w:rsidRPr="00643EF4">
        <w:rPr>
          <w:rFonts w:ascii="Century" w:hAnsi="Century" w:cs="Miriam" w:hint="cs"/>
          <w:b/>
          <w:sz w:val="22"/>
          <w:rtl/>
        </w:rPr>
        <w:t>שם</w:t>
      </w:r>
      <w:r w:rsidRPr="00643EF4">
        <w:rPr>
          <w:rFonts w:ascii="Century" w:hAnsi="Century" w:cs="FrankRuehl" w:hint="cs"/>
          <w:spacing w:val="10"/>
          <w:sz w:val="22"/>
          <w:szCs w:val="28"/>
          <w:rtl/>
        </w:rPr>
        <w:t>, בעמ' 500).</w:t>
      </w:r>
    </w:p>
    <w:p w14:paraId="19BF9169"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653A1A4C"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במקרים שבהם אי החוקיות של הבנייה שאותה מבקש החוק להסדיר היא ברורה וגלויה על פניה, הכשרתה בדיעבד פוגעת, איפוא, פגיעה קשה בשלטון החוק. לכך יש להוסיף את העובדה שבענייננו הבנייה נעשתה שלא כדין לא רק משום שלא קדם לה הליך תכנוני, אלא גם בשל הפגמים שנפלו בה במישור הקנייני. במקרים רבים מדובר בבנייה שהתבצעה במקרקעי הזולת, ולמצער במקרקעין שיש פלסטינים הטוענים לזכויות בהם. בכך, גלומה חומרה יתרה במישור הפגיעה בשלטון החוק וביכולת להכשיר את הבנייה בדיעבד. בנוסף, כפי שכבר צוין, הבנייה דנן בוצעה בתחומי האזור המצוי בתפיסה לוחמתית שאינו נתון לריבונות המדינה, ואף זהו שיקול שיש להביאו בחשבון שכן הדין החל באזור מעניק הגנה רחבה לזכויות התושבים המוגנים המתגוררים בו. בנסיבות אלה, שינוי הדין באופן המיטיב עם מי שהפר אותו מעורר</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קושי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רב</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ראו</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בהקשר</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זה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דברי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נציגת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היועץ</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המשפטי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לממשלה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בוועדה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המשותפת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ביום</w:t>
      </w:r>
      <w:r w:rsidRPr="00643EF4">
        <w:rPr>
          <w:rFonts w:ascii="Garamond" w:hAnsi="Garamond" w:cs="FrankRuehl"/>
          <w:spacing w:val="10"/>
          <w:sz w:val="24"/>
          <w:szCs w:val="28"/>
          <w:rtl/>
        </w:rPr>
        <w:t xml:space="preserve"> 22.11.2016, </w:t>
      </w:r>
      <w:r w:rsidRPr="00643EF4">
        <w:rPr>
          <w:rFonts w:ascii="Garamond" w:hAnsi="Garamond" w:cs="FrankRuehl" w:hint="eastAsia"/>
          <w:spacing w:val="10"/>
          <w:sz w:val="24"/>
          <w:szCs w:val="28"/>
          <w:rtl/>
        </w:rPr>
        <w:t>בעמ</w:t>
      </w:r>
      <w:r w:rsidRPr="00643EF4">
        <w:rPr>
          <w:rFonts w:ascii="Garamond" w:hAnsi="Garamond" w:cs="FrankRuehl"/>
          <w:spacing w:val="10"/>
          <w:sz w:val="24"/>
          <w:szCs w:val="28"/>
          <w:rtl/>
        </w:rPr>
        <w:t>' 19-21).</w:t>
      </w:r>
      <w:r w:rsidRPr="00643EF4">
        <w:rPr>
          <w:rFonts w:ascii="Garamond" w:hAnsi="Garamond" w:cs="FrankRuehl" w:hint="cs"/>
          <w:spacing w:val="10"/>
          <w:sz w:val="24"/>
          <w:szCs w:val="28"/>
          <w:rtl/>
        </w:rPr>
        <w:t xml:space="preserve"> </w:t>
      </w:r>
    </w:p>
    <w:p w14:paraId="010FB572"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52B0961A" w14:textId="30DA49BE" w:rsidR="00190218" w:rsidRPr="00643EF4" w:rsidRDefault="00190218" w:rsidP="00190218">
      <w:pPr>
        <w:pStyle w:val="Ruller4"/>
        <w:rPr>
          <w:rtl/>
        </w:rPr>
      </w:pPr>
      <w:r w:rsidRPr="00643EF4">
        <w:rPr>
          <w:rFonts w:hint="cs"/>
          <w:rtl/>
        </w:rPr>
        <w:t xml:space="preserve">השיקולים הנוגעים לשמירה על שלטון החוק אינם מוליכים אומנם בהכרח לביטולה של כל הסדרה והכשרה בדיעבד של בנייה בלתי חוקית ויש לבחון כל מקרה ומקרה לפי נסיבותיו (ראו </w:t>
      </w:r>
      <w:r w:rsidRPr="00643EF4">
        <w:rPr>
          <w:rFonts w:ascii="Century" w:hAnsi="Century" w:hint="cs"/>
          <w:sz w:val="22"/>
          <w:rtl/>
        </w:rPr>
        <w:t xml:space="preserve">והשוו עע"ם 3319/05 </w:t>
      </w:r>
      <w:r w:rsidRPr="00643EF4">
        <w:rPr>
          <w:rFonts w:ascii="Century" w:hAnsi="Century" w:cs="Miriam" w:hint="cs"/>
          <w:b/>
          <w:sz w:val="22"/>
          <w:szCs w:val="24"/>
          <w:rtl/>
        </w:rPr>
        <w:t>פונטה נ' הועדה המקומית לתכנון ובניה באר שבע</w:t>
      </w:r>
      <w:r w:rsidRPr="00643EF4">
        <w:rPr>
          <w:rFonts w:ascii="Century" w:hAnsi="Century" w:hint="cs"/>
          <w:sz w:val="22"/>
          <w:rtl/>
        </w:rPr>
        <w:t>, פסקה ד(8) (1.8.2005);</w:t>
      </w:r>
      <w:r w:rsidRPr="00643EF4">
        <w:rPr>
          <w:rFonts w:hint="cs"/>
          <w:rtl/>
        </w:rPr>
        <w:t xml:space="preserve"> בג"ץ 8171/09 </w:t>
      </w:r>
      <w:r w:rsidRPr="00643EF4">
        <w:rPr>
          <w:rFonts w:ascii="Century" w:hAnsi="Century" w:cs="Miriam" w:hint="cs"/>
          <w:b/>
          <w:sz w:val="22"/>
          <w:szCs w:val="24"/>
          <w:rtl/>
        </w:rPr>
        <w:t>יוסף נ' מועצת התכנון העליונה במינהל האזרחי</w:t>
      </w:r>
      <w:r w:rsidRPr="00643EF4">
        <w:rPr>
          <w:rFonts w:ascii="Century" w:hAnsi="Century" w:hint="cs"/>
          <w:sz w:val="22"/>
          <w:rtl/>
        </w:rPr>
        <w:t xml:space="preserve"> </w:t>
      </w:r>
      <w:r w:rsidRPr="00643EF4">
        <w:rPr>
          <w:rFonts w:hint="cs"/>
          <w:rtl/>
        </w:rPr>
        <w:t>(20.11.2011);</w:t>
      </w:r>
      <w:r w:rsidRPr="00643EF4">
        <w:rPr>
          <w:rFonts w:ascii="Century" w:hAnsi="Century" w:hint="cs"/>
          <w:sz w:val="22"/>
          <w:rtl/>
        </w:rPr>
        <w:t xml:space="preserve"> עע"ם 65/13 </w:t>
      </w:r>
      <w:r w:rsidRPr="00643EF4">
        <w:rPr>
          <w:rFonts w:ascii="Century" w:hAnsi="Century" w:cs="Miriam" w:hint="cs"/>
          <w:b/>
          <w:sz w:val="22"/>
          <w:szCs w:val="24"/>
          <w:rtl/>
        </w:rPr>
        <w:t>הועדה המחוזית לתכון ובניה חיפה נ' נאות מזרחי בע"מ</w:t>
      </w:r>
      <w:r w:rsidRPr="00643EF4">
        <w:rPr>
          <w:rFonts w:ascii="Century" w:hAnsi="Century" w:hint="cs"/>
          <w:sz w:val="22"/>
          <w:rtl/>
        </w:rPr>
        <w:t xml:space="preserve">, פסקאות י"ט-כ"א (7.7.2013); עניין </w:t>
      </w:r>
      <w:r w:rsidRPr="00643EF4">
        <w:rPr>
          <w:rFonts w:ascii="Century" w:hAnsi="Century" w:cs="Miriam" w:hint="cs"/>
          <w:b/>
          <w:sz w:val="22"/>
          <w:szCs w:val="24"/>
          <w:rtl/>
        </w:rPr>
        <w:t>רגבים</w:t>
      </w:r>
      <w:r w:rsidRPr="00643EF4">
        <w:rPr>
          <w:rFonts w:ascii="Century" w:hAnsi="Century"/>
          <w:sz w:val="22"/>
          <w:rtl/>
        </w:rPr>
        <w:t xml:space="preserve">, </w:t>
      </w:r>
      <w:r w:rsidRPr="00643EF4">
        <w:rPr>
          <w:rFonts w:ascii="Century" w:hAnsi="Century" w:hint="cs"/>
          <w:sz w:val="22"/>
          <w:rtl/>
        </w:rPr>
        <w:t xml:space="preserve">פסקה ז; עע"ם 3192/14 </w:t>
      </w:r>
      <w:r w:rsidRPr="00643EF4">
        <w:rPr>
          <w:rFonts w:ascii="Century" w:hAnsi="Century" w:cs="Miriam" w:hint="cs"/>
          <w:b/>
          <w:sz w:val="22"/>
          <w:szCs w:val="24"/>
          <w:rtl/>
        </w:rPr>
        <w:t>גרנות נ' האגודה השיתופית רמת רזיאל כפר שיתופי של תנועת חרות</w:t>
      </w:r>
      <w:r w:rsidRPr="00643EF4">
        <w:rPr>
          <w:rFonts w:ascii="Century" w:hAnsi="Century" w:hint="cs"/>
          <w:sz w:val="22"/>
          <w:rtl/>
        </w:rPr>
        <w:t xml:space="preserve"> </w:t>
      </w:r>
      <w:r w:rsidRPr="00643EF4">
        <w:rPr>
          <w:rFonts w:ascii="Calibri" w:hAnsi="Calibri" w:hint="cs"/>
          <w:color w:val="000000"/>
          <w:sz w:val="28"/>
          <w:rtl/>
        </w:rPr>
        <w:t xml:space="preserve">(30.11.2015); עוד ראו </w:t>
      </w:r>
      <w:r w:rsidRPr="00643EF4">
        <w:rPr>
          <w:rFonts w:hint="cs"/>
          <w:color w:val="000000"/>
          <w:sz w:val="28"/>
          <w:rtl/>
        </w:rPr>
        <w:t xml:space="preserve">עע"ם 9387/17 </w:t>
      </w:r>
      <w:r w:rsidRPr="00643EF4">
        <w:rPr>
          <w:rFonts w:ascii="Century" w:hAnsi="Century" w:cs="Miriam" w:hint="cs"/>
          <w:b/>
          <w:szCs w:val="24"/>
          <w:rtl/>
        </w:rPr>
        <w:t>המרכז האקדמי למשפט ולעסקים נ' ועדת המשנה לעררים של המועצה הארצית</w:t>
      </w:r>
      <w:r w:rsidRPr="00643EF4">
        <w:rPr>
          <w:rFonts w:ascii="Century" w:hAnsi="Century" w:hint="cs"/>
          <w:rtl/>
        </w:rPr>
        <w:t>, פסקה 19 (14.10.2018)).</w:t>
      </w:r>
      <w:r w:rsidRPr="00643EF4">
        <w:rPr>
          <w:rFonts w:hint="cs"/>
          <w:rtl/>
        </w:rPr>
        <w:t xml:space="preserve"> ואולם, סעיף 3 לחוק ההסדרה מעיד עליו כי הוא מיועד להכשיר בדיעבד ובאופן גורף וכוללני "התיישבות במקרקעין הטעונה הסדרה"</w:t>
      </w:r>
      <w:r w:rsidR="00600167" w:rsidRPr="00643EF4">
        <w:rPr>
          <w:rFonts w:hint="cs"/>
          <w:rtl/>
        </w:rPr>
        <w:t>,</w:t>
      </w:r>
      <w:r w:rsidRPr="00643EF4">
        <w:rPr>
          <w:rFonts w:hint="cs"/>
          <w:rtl/>
        </w:rPr>
        <w:t xml:space="preserve"> בלא שנקבע בו מנגנון בדיקה פרטני לכל מבנה ומבנה. בהעדר בדיקה פרטנית כזו, לרבות בכל הנוגע לטיב הזכויות, נסיבות הבנייה ומשך הזמן שחלף מאז הבנייה, לא ניתן להבחין בין נסיבות שהן שונות במהותן. כך למשל, שונה הצבת מבנה יביל מן העת האחרונה על דעת רשות שאינה מרשויות השלטון המרכזי באזור, מבנייה בלתי חוקית ארוכת שנים שבוצעה בתום לב ובאישור הרשויות המוסמכות על מקרקעין שנחזו להיות רכוש ממשלתי בעת ביצוע הבנייה ואשר נגרעו ממנו שנים ארוכות לאחר מכן.  </w:t>
      </w:r>
    </w:p>
    <w:p w14:paraId="5B7B4C6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242F9C89"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b/>
          <w:sz w:val="22"/>
          <w:rtl/>
        </w:rPr>
        <w:t>נטילה כפויה של מקרקעין באזור שאינם רכוש ממשלתי</w:t>
      </w:r>
      <w:r w:rsidRPr="00643EF4">
        <w:rPr>
          <w:rFonts w:ascii="Century" w:hAnsi="Century" w:cs="Miriam" w:hint="cs"/>
          <w:b/>
          <w:sz w:val="22"/>
          <w:rtl/>
        </w:rPr>
        <w:t xml:space="preserve"> </w:t>
      </w:r>
    </w:p>
    <w:p w14:paraId="5194EA51" w14:textId="77777777" w:rsidR="00190218" w:rsidRPr="00643EF4" w:rsidRDefault="00190218" w:rsidP="00190218">
      <w:pPr>
        <w:tabs>
          <w:tab w:val="left" w:pos="800"/>
        </w:tabs>
        <w:spacing w:line="360" w:lineRule="auto"/>
        <w:jc w:val="both"/>
        <w:rPr>
          <w:rFonts w:ascii="Century" w:hAnsi="Century" w:cs="Miriam"/>
          <w:b/>
          <w:sz w:val="22"/>
          <w:rtl/>
        </w:rPr>
      </w:pPr>
    </w:p>
    <w:p w14:paraId="58EE0841" w14:textId="134F9136" w:rsidR="00190218" w:rsidRPr="00643EF4" w:rsidRDefault="00190218" w:rsidP="00190218">
      <w:pPr>
        <w:pStyle w:val="Ruller4"/>
        <w:rPr>
          <w:rtl/>
        </w:rPr>
      </w:pPr>
      <w:r w:rsidRPr="00643EF4">
        <w:rPr>
          <w:rFonts w:hint="cs"/>
          <w:rtl/>
        </w:rPr>
        <w:t xml:space="preserve">בענייננו מדובר בהתיישבות ישראלית באזור שהוקמה על מקרקעין שחלק לא מבוטל מהם הוא בבעלות פרטית פלסטינית או שיש מי שטוען לזכויות בהם. חוק ההסדרה מבקש להכשיר בדיעבד ובאופן גורף לא רק את ההיבטים התכנוניים של הבנייה הבלתי חוקית בהתיישבות האמורה. הוא מוסיף וקובע הוראות אשר משמעותן אינה אלא נטילה שלטונית כפויה של זכויות השימוש והחזקה במקרקעין, מעין "הפקעה דה-פקטו" שלהם. ככל שבנטילה מסוג זה עסקינן, תנאי יסוד הוא שהיא תעשה "לצורך ציבורי". לפיכך, עולה השאלה מהו "הצורך הציבורי" אשר יש בו כדי להצדיק אותה בענייננו, ומה המשמעות שיש לייחס לעובדה כי הנטילה השלטונית הכפויה נעשית מידי תושבים פלסטיניים שהם "תושבים מוגנים", כמשמעות מונח זה בדין הבינלאומי, ועל ידי השלטון הישראלי, שאיננו הריבון באזור. </w:t>
      </w:r>
    </w:p>
    <w:p w14:paraId="3EBF95D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56E4D025"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r w:rsidRPr="00643EF4">
        <w:rPr>
          <w:rFonts w:ascii="Arial TUR" w:hAnsi="Arial TUR" w:cs="FrankRuehl"/>
          <w:spacing w:val="10"/>
          <w:sz w:val="22"/>
          <w:szCs w:val="28"/>
          <w:rtl/>
        </w:rPr>
        <w:tab/>
      </w:r>
      <w:r w:rsidRPr="00643EF4">
        <w:rPr>
          <w:rFonts w:ascii="Arial TUR" w:hAnsi="Arial TUR" w:cs="FrankRuehl" w:hint="cs"/>
          <w:spacing w:val="10"/>
          <w:sz w:val="22"/>
          <w:szCs w:val="28"/>
          <w:rtl/>
        </w:rPr>
        <w:t xml:space="preserve">כפי שיפורט להלן, בחינה על דרך ההיקש של דיני הנטילה השלטונית החלים באזור ובישראל וכן בחינה השוואתית של הדין האמריקני, שאליו הפנו הצדדים, מעלה כי התשובה לשאלה האם ניתן להפקיע דה-פקטו מקרקעין בנסיבות כאלה היא שלילית. </w:t>
      </w:r>
    </w:p>
    <w:p w14:paraId="2311F043" w14:textId="77777777" w:rsidR="00190218" w:rsidRPr="00643EF4" w:rsidRDefault="00190218" w:rsidP="00190218">
      <w:pPr>
        <w:tabs>
          <w:tab w:val="left" w:pos="800"/>
        </w:tabs>
        <w:spacing w:line="360" w:lineRule="auto"/>
        <w:jc w:val="both"/>
        <w:rPr>
          <w:rFonts w:ascii="Century" w:hAnsi="Century" w:cs="Miriam"/>
          <w:b/>
          <w:sz w:val="22"/>
          <w:rtl/>
        </w:rPr>
      </w:pPr>
    </w:p>
    <w:p w14:paraId="023B057F"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lastRenderedPageBreak/>
        <w:t>(א) הדין החל באזור</w:t>
      </w:r>
    </w:p>
    <w:p w14:paraId="2D4E93B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0E34F0B3" w14:textId="77777777" w:rsidR="00633E3B" w:rsidRPr="00643EF4" w:rsidRDefault="00190218" w:rsidP="00190218">
      <w:pPr>
        <w:pStyle w:val="Ruller4"/>
        <w:rPr>
          <w:strike/>
        </w:rPr>
      </w:pPr>
      <w:r w:rsidRPr="00643EF4">
        <w:rPr>
          <w:rFonts w:hint="cs"/>
          <w:rtl/>
        </w:rPr>
        <w:t xml:space="preserve">הדין המקומי העשוי לשמש מקור חוקי לביצוע הפקעה לצורכי ציבור של זכויות פרטיות במקרקעין באזור, הוא חוק הקרקעות (רכישה לצרכי ציבור) 1953 (להלן: </w:t>
      </w:r>
      <w:r w:rsidRPr="00643EF4">
        <w:rPr>
          <w:rFonts w:ascii="Century" w:hAnsi="Century" w:cs="Miriam" w:hint="cs"/>
          <w:b/>
          <w:sz w:val="22"/>
          <w:szCs w:val="24"/>
          <w:rtl/>
        </w:rPr>
        <w:t>חוק הרכישה הירדני</w:t>
      </w:r>
      <w:r w:rsidRPr="00643EF4">
        <w:rPr>
          <w:rFonts w:ascii="Century" w:hAnsi="Century" w:hint="cs"/>
          <w:sz w:val="22"/>
          <w:rtl/>
        </w:rPr>
        <w:t>) כפי</w:t>
      </w:r>
      <w:r w:rsidRPr="00643EF4">
        <w:rPr>
          <w:rFonts w:hint="cs"/>
          <w:rtl/>
        </w:rPr>
        <w:t xml:space="preserve"> שתוקן בצו מס' 321 בדבר חוק הקרקעות (רכישה לצרכי ציבור) (יו"ש) 1969. חוק זה קובע </w:t>
      </w:r>
      <w:r w:rsidRPr="00643EF4">
        <w:rPr>
          <w:rFonts w:ascii="Century" w:hAnsi="Century" w:hint="cs"/>
          <w:sz w:val="22"/>
          <w:rtl/>
        </w:rPr>
        <w:t>כי ניתן לבצע "רכישה" כפויה של מקרקעין תמורת פיצוי כספי רק בהתקיים "צורך ציבורי</w:t>
      </w:r>
      <w:r w:rsidRPr="00643EF4">
        <w:rPr>
          <w:rFonts w:hint="cs"/>
          <w:rtl/>
        </w:rPr>
        <w:t xml:space="preserve">" המוגדר שם כ"כל צורך שהחליטה לגביו הממשלה בהסכמתו של המלך כצורך ציבורי". בעניין </w:t>
      </w:r>
      <w:r w:rsidRPr="00643EF4">
        <w:rPr>
          <w:rFonts w:cs="Miriam" w:hint="cs"/>
          <w:b/>
          <w:szCs w:val="24"/>
          <w:rtl/>
        </w:rPr>
        <w:t>ג'מעית אסכאן</w:t>
      </w:r>
      <w:r w:rsidRPr="00643EF4">
        <w:rPr>
          <w:rFonts w:hint="cs"/>
          <w:rtl/>
        </w:rPr>
        <w:t xml:space="preserve"> קבע בית משפט זה כי תקנה 46 לתקנות האג, שעליה עמדנו לעיל, אשר קובעת איסור על החרמת רכוש פרטי של תושבי האזור הפלסטינים</w:t>
      </w:r>
      <w:r w:rsidR="005D7900" w:rsidRPr="00643EF4">
        <w:rPr>
          <w:rFonts w:hint="cs"/>
          <w:rtl/>
        </w:rPr>
        <w:t>,</w:t>
      </w:r>
      <w:r w:rsidRPr="00643EF4">
        <w:rPr>
          <w:rFonts w:hint="cs"/>
          <w:rtl/>
        </w:rPr>
        <w:t xml:space="preserve"> אינה שוללת את סמכותו של המפקד הצבאי להפקיע רכוש פר</w:t>
      </w:r>
      <w:r w:rsidR="005D7900" w:rsidRPr="00643EF4">
        <w:rPr>
          <w:rFonts w:hint="cs"/>
          <w:rtl/>
        </w:rPr>
        <w:t xml:space="preserve">טי מכוח הדין המקומי החל באזור. </w:t>
      </w:r>
      <w:r w:rsidRPr="00643EF4">
        <w:rPr>
          <w:rFonts w:hint="cs"/>
          <w:rtl/>
        </w:rPr>
        <w:t xml:space="preserve">זאת ככל שהפעולה עולה בקנה אחד עם החובות הכלליות החלות על המפקד </w:t>
      </w:r>
      <w:r w:rsidR="00633E3B" w:rsidRPr="00643EF4">
        <w:rPr>
          <w:rFonts w:hint="cs"/>
          <w:rtl/>
        </w:rPr>
        <w:t xml:space="preserve">הצבאי מתוקף תקנה 43 לתקנות האג - המשמשת </w:t>
      </w:r>
      <w:r w:rsidRPr="00643EF4">
        <w:rPr>
          <w:rFonts w:hint="cs"/>
          <w:rtl/>
        </w:rPr>
        <w:t>מעין הוראת "על" כללית בכל</w:t>
      </w:r>
      <w:r w:rsidR="00633E3B" w:rsidRPr="00643EF4">
        <w:rPr>
          <w:rFonts w:hint="cs"/>
          <w:rtl/>
        </w:rPr>
        <w:t xml:space="preserve"> הנוגע לסמכות המפקד הצבאי באזור -</w:t>
      </w:r>
      <w:r w:rsidRPr="00643EF4">
        <w:rPr>
          <w:rFonts w:hint="cs"/>
          <w:rtl/>
        </w:rPr>
        <w:t xml:space="preserve"> וככל שהסמכות מופעלת על פי כללי היסוד של המשפט המינהלי </w:t>
      </w:r>
      <w:r w:rsidRPr="00643EF4">
        <w:rPr>
          <w:rFonts w:ascii="Century" w:hAnsi="Century" w:hint="cs"/>
          <w:sz w:val="22"/>
          <w:rtl/>
        </w:rPr>
        <w:t>הישראלי</w:t>
      </w:r>
      <w:r w:rsidRPr="00643EF4">
        <w:rPr>
          <w:rFonts w:hint="cs"/>
          <w:rtl/>
        </w:rPr>
        <w:t xml:space="preserve"> (עניין </w:t>
      </w:r>
      <w:r w:rsidRPr="00643EF4">
        <w:rPr>
          <w:rFonts w:cs="Miriam" w:hint="cs"/>
          <w:b/>
          <w:szCs w:val="24"/>
          <w:rtl/>
        </w:rPr>
        <w:t>ג'מעית אסכאן</w:t>
      </w:r>
      <w:r w:rsidRPr="00643EF4">
        <w:rPr>
          <w:rFonts w:hint="cs"/>
          <w:rtl/>
        </w:rPr>
        <w:t>, בעמ' 809-</w:t>
      </w:r>
      <w:r w:rsidRPr="00643EF4">
        <w:rPr>
          <w:rFonts w:ascii="Century" w:hAnsi="Century" w:hint="cs"/>
          <w:sz w:val="22"/>
          <w:rtl/>
        </w:rPr>
        <w:t>808</w:t>
      </w:r>
      <w:r w:rsidRPr="00643EF4">
        <w:rPr>
          <w:rFonts w:hint="cs"/>
          <w:rtl/>
        </w:rPr>
        <w:t>;</w:t>
      </w:r>
      <w:r w:rsidRPr="00643EF4">
        <w:rPr>
          <w:szCs w:val="22"/>
          <w:rtl/>
        </w:rPr>
        <w:t xml:space="preserve"> </w:t>
      </w:r>
      <w:r w:rsidRPr="00643EF4">
        <w:rPr>
          <w:rFonts w:ascii="Century" w:hAnsi="Century"/>
          <w:smallCaps/>
          <w:sz w:val="22"/>
          <w:szCs w:val="22"/>
        </w:rPr>
        <w:t>Yutaka Arai-Takahashi, The Law of Occupation 236-238 (2009)</w:t>
      </w:r>
      <w:r w:rsidRPr="00643EF4">
        <w:rPr>
          <w:rFonts w:hint="cs"/>
          <w:rtl/>
        </w:rPr>
        <w:t xml:space="preserve">; </w:t>
      </w:r>
      <w:r w:rsidRPr="00643EF4">
        <w:rPr>
          <w:rFonts w:cs="Miriam" w:hint="cs"/>
          <w:b/>
          <w:szCs w:val="24"/>
          <w:rtl/>
        </w:rPr>
        <w:t>דינשטיין</w:t>
      </w:r>
      <w:r w:rsidRPr="00643EF4">
        <w:rPr>
          <w:rFonts w:hint="cs"/>
          <w:rtl/>
        </w:rPr>
        <w:t xml:space="preserve">, בעמ' 226-225; השוו לעמדת פרופ' יוג'ין קונטורוביץ' שצורפה כנספח 8 לתגובת הממשלה לעתירות, בעמ' 5-3. </w:t>
      </w:r>
      <w:r w:rsidRPr="00643EF4">
        <w:rPr>
          <w:rFonts w:ascii="Century" w:hAnsi="Century" w:hint="cs"/>
          <w:sz w:val="22"/>
          <w:rtl/>
        </w:rPr>
        <w:t xml:space="preserve">לסקירה ראו </w:t>
      </w:r>
      <w:r w:rsidRPr="00643EF4">
        <w:rPr>
          <w:rFonts w:ascii="Century" w:hAnsi="Century" w:cs="Miriam" w:hint="cs"/>
          <w:b/>
          <w:sz w:val="22"/>
          <w:szCs w:val="24"/>
          <w:rtl/>
        </w:rPr>
        <w:t>ארליך</w:t>
      </w:r>
      <w:r w:rsidRPr="00643EF4">
        <w:rPr>
          <w:rFonts w:ascii="Century" w:hAnsi="Century" w:hint="cs"/>
          <w:sz w:val="22"/>
          <w:rtl/>
        </w:rPr>
        <w:t>, בעמ' 30-16.</w:t>
      </w:r>
      <w:r w:rsidRPr="00643EF4">
        <w:rPr>
          <w:rFonts w:hint="cs"/>
          <w:rtl/>
        </w:rPr>
        <w:t xml:space="preserve"> על סמכות המפקד הצבאי להחרים רכוש לצורך צבאי ראו תקנה 52 לתקנות האג שאינה רלוונטית לענייננו). </w:t>
      </w:r>
    </w:p>
    <w:p w14:paraId="7BA97C49" w14:textId="77777777" w:rsidR="00633E3B" w:rsidRPr="00643EF4" w:rsidRDefault="00633E3B" w:rsidP="00633E3B">
      <w:pPr>
        <w:pStyle w:val="Ruller4"/>
        <w:numPr>
          <w:ilvl w:val="0"/>
          <w:numId w:val="0"/>
        </w:numPr>
        <w:rPr>
          <w:rtl/>
        </w:rPr>
      </w:pPr>
    </w:p>
    <w:p w14:paraId="3A86486D" w14:textId="5EFA7343" w:rsidR="00190218" w:rsidRPr="00643EF4" w:rsidRDefault="00633E3B" w:rsidP="0029639A">
      <w:pPr>
        <w:pStyle w:val="Ruller4"/>
        <w:numPr>
          <w:ilvl w:val="0"/>
          <w:numId w:val="0"/>
        </w:numPr>
        <w:rPr>
          <w:strike/>
        </w:rPr>
      </w:pPr>
      <w:r w:rsidRPr="00643EF4">
        <w:rPr>
          <w:rtl/>
        </w:rPr>
        <w:tab/>
      </w:r>
      <w:r w:rsidR="00190218" w:rsidRPr="00643EF4">
        <w:rPr>
          <w:rFonts w:hint="cs"/>
          <w:rtl/>
        </w:rPr>
        <w:t>תקנה 43 לתקנות האג עניינה בסמכות הממשל הצבאי להחזיר ולהבטיח את "הסדר והחיים הציבוריים", לרבות צורכי הביטחון של הממשל הצבאי עצמו וצרכיה של הא</w:t>
      </w:r>
      <w:r w:rsidR="0029639A" w:rsidRPr="00643EF4">
        <w:rPr>
          <w:rFonts w:hint="cs"/>
          <w:rtl/>
        </w:rPr>
        <w:t>וכלוסייה האזרחית הנתונה לשליטתו</w:t>
      </w:r>
      <w:r w:rsidR="00190218" w:rsidRPr="00643EF4">
        <w:rPr>
          <w:rFonts w:hint="cs"/>
          <w:rtl/>
        </w:rPr>
        <w:t xml:space="preserve"> (</w:t>
      </w:r>
      <w:r w:rsidR="00190218" w:rsidRPr="00643EF4">
        <w:rPr>
          <w:rFonts w:ascii="Century" w:hAnsi="Century" w:hint="cs"/>
          <w:sz w:val="22"/>
          <w:rtl/>
        </w:rPr>
        <w:t>אשר לתוכנה של החובה להבטיח את צורכי האוכלוסייה בשטח הנתון בתפיסה לוחמתית ראו</w:t>
      </w:r>
      <w:r w:rsidR="00190218" w:rsidRPr="00643EF4">
        <w:rPr>
          <w:rFonts w:ascii="Century" w:hAnsi="Century"/>
          <w:sz w:val="22"/>
          <w:szCs w:val="22"/>
        </w:rPr>
        <w:t xml:space="preserve">Emma Playfair, </w:t>
      </w:r>
      <w:r w:rsidR="00190218" w:rsidRPr="00643EF4">
        <w:rPr>
          <w:rFonts w:ascii="Century" w:hAnsi="Century"/>
          <w:i/>
          <w:iCs/>
          <w:sz w:val="22"/>
          <w:szCs w:val="22"/>
        </w:rPr>
        <w:t>Playing on Principle? Israel's Justification for its Administarative Acts in the Occupied West Bank, in</w:t>
      </w:r>
      <w:r w:rsidR="00190218" w:rsidRPr="00643EF4">
        <w:rPr>
          <w:rFonts w:ascii="Century" w:hAnsi="Century"/>
          <w:sz w:val="22"/>
          <w:szCs w:val="22"/>
        </w:rPr>
        <w:t xml:space="preserve"> </w:t>
      </w:r>
      <w:r w:rsidR="00190218" w:rsidRPr="00643EF4">
        <w:rPr>
          <w:rFonts w:ascii="Century" w:hAnsi="Century"/>
          <w:smallCaps/>
          <w:sz w:val="22"/>
          <w:szCs w:val="22"/>
        </w:rPr>
        <w:t>International Law and the Administration of Occupied Territories</w:t>
      </w:r>
      <w:r w:rsidR="00190218" w:rsidRPr="00643EF4">
        <w:rPr>
          <w:rFonts w:ascii="Century" w:hAnsi="Century"/>
          <w:sz w:val="22"/>
          <w:szCs w:val="22"/>
        </w:rPr>
        <w:t xml:space="preserve"> 205, 215-220 (1988)</w:t>
      </w:r>
      <w:r w:rsidR="00190218" w:rsidRPr="00643EF4">
        <w:rPr>
          <w:rFonts w:hint="cs"/>
          <w:rtl/>
        </w:rPr>
        <w:t xml:space="preserve"> (להלן: </w:t>
      </w:r>
      <w:r w:rsidR="00190218" w:rsidRPr="00643EF4">
        <w:rPr>
          <w:rFonts w:ascii="Century" w:hAnsi="Century"/>
          <w:sz w:val="22"/>
        </w:rPr>
        <w:t>Playfair</w:t>
      </w:r>
      <w:r w:rsidR="00190218" w:rsidRPr="00643EF4">
        <w:rPr>
          <w:rFonts w:hint="cs"/>
          <w:rtl/>
        </w:rPr>
        <w:t xml:space="preserve">); עניין </w:t>
      </w:r>
      <w:r w:rsidR="00190218" w:rsidRPr="00643EF4">
        <w:rPr>
          <w:rFonts w:ascii="Century" w:hAnsi="Century" w:cs="Miriam" w:hint="cs"/>
          <w:b/>
          <w:sz w:val="22"/>
          <w:szCs w:val="24"/>
          <w:rtl/>
        </w:rPr>
        <w:t>אבו עיטה</w:t>
      </w:r>
      <w:r w:rsidR="00190218" w:rsidRPr="00643EF4">
        <w:rPr>
          <w:rFonts w:hint="cs"/>
          <w:rtl/>
        </w:rPr>
        <w:t xml:space="preserve">, בעמ' 315; ראו גם </w:t>
      </w:r>
      <w:r w:rsidR="00190218" w:rsidRPr="00643EF4">
        <w:rPr>
          <w:rFonts w:ascii="Century" w:hAnsi="Century" w:hint="cs"/>
          <w:sz w:val="22"/>
          <w:rtl/>
        </w:rPr>
        <w:t xml:space="preserve">יורם דינשטיין "סמכות החקיקה בשטחים המוחזקים" </w:t>
      </w:r>
      <w:r w:rsidR="00190218" w:rsidRPr="00643EF4">
        <w:rPr>
          <w:rFonts w:ascii="Century" w:hAnsi="Century" w:cs="Miriam" w:hint="cs"/>
          <w:b/>
          <w:sz w:val="22"/>
          <w:szCs w:val="24"/>
          <w:rtl/>
        </w:rPr>
        <w:t xml:space="preserve">עיוני משפט </w:t>
      </w:r>
      <w:r w:rsidR="00190218" w:rsidRPr="00643EF4">
        <w:rPr>
          <w:rFonts w:ascii="Century" w:hAnsi="Century" w:hint="cs"/>
          <w:sz w:val="22"/>
          <w:rtl/>
        </w:rPr>
        <w:t>ב 505, 511 (1973)</w:t>
      </w:r>
      <w:r w:rsidR="00190218" w:rsidRPr="00643EF4">
        <w:rPr>
          <w:rFonts w:hint="cs"/>
          <w:rtl/>
        </w:rPr>
        <w:t xml:space="preserve">). </w:t>
      </w:r>
    </w:p>
    <w:p w14:paraId="4C953FC2" w14:textId="77777777" w:rsidR="00190218" w:rsidRPr="00643EF4" w:rsidRDefault="00190218" w:rsidP="00190218">
      <w:pPr>
        <w:tabs>
          <w:tab w:val="left" w:pos="800"/>
        </w:tabs>
        <w:spacing w:line="360" w:lineRule="auto"/>
        <w:jc w:val="both"/>
        <w:rPr>
          <w:rFonts w:ascii="Garamond" w:hAnsi="Garamond" w:cs="FrankRuehl"/>
          <w:spacing w:val="10"/>
          <w:sz w:val="24"/>
          <w:szCs w:val="28"/>
        </w:rPr>
      </w:pPr>
    </w:p>
    <w:p w14:paraId="14BBDE3B" w14:textId="10C278BA" w:rsidR="00190218" w:rsidRPr="00643EF4" w:rsidRDefault="00190218" w:rsidP="00190218">
      <w:pPr>
        <w:pStyle w:val="Ruller4"/>
        <w:rPr>
          <w:rtl/>
        </w:rPr>
      </w:pPr>
      <w:r w:rsidRPr="00643EF4">
        <w:rPr>
          <w:rFonts w:hint="cs"/>
          <w:rtl/>
        </w:rPr>
        <w:t xml:space="preserve">סוגיית ההפקעה של מקרקעין פלסטיניים פרטיים לצורך הקמת התיישבות ישראלית באזור נבחנה כבר בשנת 1980 בחוות דעת שערך היועץ המשפטי לממשלה (דאז) פרופ' </w:t>
      </w:r>
      <w:r w:rsidRPr="00643EF4">
        <w:rPr>
          <w:rFonts w:ascii="Century" w:hAnsi="Century" w:cs="Miriam" w:hint="cs"/>
          <w:b/>
          <w:sz w:val="22"/>
          <w:szCs w:val="24"/>
          <w:rtl/>
        </w:rPr>
        <w:t>יצחק זמיר</w:t>
      </w:r>
      <w:r w:rsidRPr="00643EF4">
        <w:rPr>
          <w:rFonts w:hint="cs"/>
          <w:rtl/>
        </w:rPr>
        <w:t xml:space="preserve">. בחוות דעתו ציין </w:t>
      </w:r>
      <w:r w:rsidRPr="00643EF4">
        <w:rPr>
          <w:rFonts w:ascii="Century" w:hAnsi="Century" w:cs="Miriam" w:hint="cs"/>
          <w:b/>
          <w:sz w:val="22"/>
          <w:szCs w:val="24"/>
          <w:rtl/>
        </w:rPr>
        <w:t>זמיר</w:t>
      </w:r>
      <w:r w:rsidRPr="00643EF4">
        <w:rPr>
          <w:rFonts w:hint="cs"/>
          <w:rtl/>
        </w:rPr>
        <w:t xml:space="preserve">, בין היתר, כי "החלטה להפקיע קרקע מכוח החוק הירדני [...] לצורך הקמת ישובים ישראליים חדשים </w:t>
      </w:r>
      <w:r w:rsidRPr="00643EF4">
        <w:rPr>
          <w:rFonts w:ascii="Century" w:hAnsi="Century" w:cs="Miriam" w:hint="cs"/>
          <w:b/>
          <w:sz w:val="22"/>
          <w:szCs w:val="24"/>
          <w:rtl/>
        </w:rPr>
        <w:t>תעמוד על בסיס רעוע מבחינה משפטית</w:t>
      </w:r>
      <w:r w:rsidRPr="00643EF4">
        <w:rPr>
          <w:rFonts w:hint="cs"/>
          <w:rtl/>
        </w:rPr>
        <w:t xml:space="preserve"> [...] [ו]</w:t>
      </w:r>
      <w:r w:rsidRPr="00643EF4">
        <w:rPr>
          <w:rFonts w:ascii="Century" w:hAnsi="Century" w:cs="Miriam" w:hint="cs"/>
          <w:b/>
          <w:sz w:val="22"/>
          <w:szCs w:val="24"/>
          <w:rtl/>
        </w:rPr>
        <w:t>קיים ספק רציני בחוקיות השימוש בחוק הירדני לשם הפקעת קרקע פרטית</w:t>
      </w:r>
      <w:r w:rsidRPr="00643EF4">
        <w:rPr>
          <w:rFonts w:hint="cs"/>
          <w:rtl/>
        </w:rPr>
        <w:t xml:space="preserve"> </w:t>
      </w:r>
      <w:r w:rsidRPr="00643EF4">
        <w:rPr>
          <w:rFonts w:ascii="Century" w:hAnsi="Century" w:cs="Miriam" w:hint="cs"/>
          <w:b/>
          <w:sz w:val="22"/>
          <w:szCs w:val="24"/>
          <w:rtl/>
        </w:rPr>
        <w:t>לצורך ההתישבות הישראלית</w:t>
      </w:r>
      <w:r w:rsidRPr="00643EF4">
        <w:rPr>
          <w:rFonts w:hint="cs"/>
          <w:rtl/>
        </w:rPr>
        <w:t xml:space="preserve">" (ההדגשות הוספו). אכן, לאורך השנים </w:t>
      </w:r>
      <w:r w:rsidRPr="00643EF4">
        <w:rPr>
          <w:rFonts w:hint="cs"/>
          <w:rtl/>
        </w:rPr>
        <w:lastRenderedPageBreak/>
        <w:t xml:space="preserve">פסק בית משפט זה כי חובתו של המפקד הצבאי להבטיח את צורכי האוכלוסייה בשטח הנתון בתפיסה לוחמתית מתייחסת בראש ובראשונה ל"תושבים </w:t>
      </w:r>
      <w:r w:rsidRPr="00643EF4">
        <w:rPr>
          <w:rFonts w:ascii="Century" w:hAnsi="Century" w:hint="cs"/>
          <w:sz w:val="22"/>
          <w:rtl/>
        </w:rPr>
        <w:t>המוגנים"</w:t>
      </w:r>
      <w:r w:rsidRPr="00643EF4">
        <w:rPr>
          <w:rFonts w:hint="cs"/>
          <w:rtl/>
        </w:rPr>
        <w:t xml:space="preserve"> שהם תושבי האזור הפלסטיניים:</w:t>
      </w:r>
    </w:p>
    <w:p w14:paraId="06492E5E"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408470B7" w14:textId="77777777" w:rsidR="00190218" w:rsidRPr="00643EF4" w:rsidRDefault="00190218" w:rsidP="00190218">
      <w:pPr>
        <w:ind w:left="1642" w:right="1282"/>
        <w:jc w:val="both"/>
        <w:rPr>
          <w:rFonts w:ascii="FrankRuehl" w:hAnsi="FrankRuehl" w:cs="FrankRuehl"/>
          <w:b/>
          <w:sz w:val="28"/>
          <w:szCs w:val="28"/>
          <w:rtl/>
        </w:rPr>
      </w:pPr>
      <w:r w:rsidRPr="00643EF4">
        <w:rPr>
          <w:rFonts w:ascii="Arial TUR" w:hAnsi="Arial TUR" w:cs="FrankRuehl" w:hint="cs"/>
          <w:spacing w:val="10"/>
          <w:sz w:val="22"/>
          <w:szCs w:val="28"/>
          <w:rtl/>
        </w:rPr>
        <w:t>"</w:t>
      </w:r>
      <w:r w:rsidRPr="00643EF4">
        <w:rPr>
          <w:rFonts w:ascii="Century" w:hAnsi="Century" w:cs="Miriam" w:hint="cs"/>
          <w:b/>
          <w:sz w:val="22"/>
          <w:rtl/>
        </w:rPr>
        <w:t>הכוח הכובש אינו רשאי, אפוא, להפקיע אדמות שלא לצורך צבאי, אלא אם השימוש שיעשה בהן נועד לשרת את התושבים המוגנים</w:t>
      </w:r>
      <w:r w:rsidRPr="00643EF4">
        <w:rPr>
          <w:rFonts w:ascii="Arial TUR" w:hAnsi="Arial TUR" w:cs="FrankRuehl" w:hint="cs"/>
          <w:spacing w:val="10"/>
          <w:sz w:val="22"/>
          <w:szCs w:val="28"/>
          <w:rtl/>
        </w:rPr>
        <w:t xml:space="preserve"> [...] אין המפקד הצבאי רשאי לשקול את האינטרסים הלאומיים, הכלכליים, החברתיים או הסוציאליים של המדינה הכובשת </w:t>
      </w:r>
      <w:r w:rsidRPr="00643EF4">
        <w:rPr>
          <w:rFonts w:ascii="Century" w:hAnsi="Century" w:cs="Miriam" w:hint="cs"/>
          <w:b/>
          <w:sz w:val="22"/>
          <w:rtl/>
        </w:rPr>
        <w:t>אם אין באלה כדי להשליך על האינטרס הביטחוני של מדינה זו בשטח או על האינטרס של התושבים המוגנים החיים בו</w:t>
      </w:r>
      <w:r w:rsidRPr="00643EF4">
        <w:rPr>
          <w:rFonts w:ascii="Arial TUR" w:hAnsi="Arial TUR" w:cs="FrankRuehl" w:hint="cs"/>
          <w:spacing w:val="10"/>
          <w:sz w:val="22"/>
          <w:szCs w:val="28"/>
          <w:rtl/>
        </w:rPr>
        <w:t xml:space="preserve"> [...] אין גם חולק כי הפקעת מקרקעין לשם הקמת פרויקט שישרת רק את תושבי המדינה שאינם חיים באזור הנתון לתפיסה לוחמתית נוגדת את הדין הבינלאומי, ומשכך אינה מצויה בסמכותו של המפקד הצבאי" (ההדגשות הוספו; עניין </w:t>
      </w:r>
      <w:r w:rsidRPr="00643EF4">
        <w:rPr>
          <w:rFonts w:ascii="Century" w:hAnsi="Century" w:cs="Miriam" w:hint="cs"/>
          <w:b/>
          <w:sz w:val="22"/>
          <w:rtl/>
        </w:rPr>
        <w:t>בית איכסא</w:t>
      </w:r>
      <w:r w:rsidRPr="00643EF4">
        <w:rPr>
          <w:rFonts w:ascii="Arial TUR" w:hAnsi="Arial TUR" w:cs="FrankRuehl" w:hint="cs"/>
          <w:spacing w:val="10"/>
          <w:sz w:val="22"/>
          <w:szCs w:val="28"/>
          <w:rtl/>
        </w:rPr>
        <w:t xml:space="preserve">, פסקאות 27-26; לדיון בפסק הדין ראו </w:t>
      </w:r>
      <w:r w:rsidRPr="00643EF4">
        <w:rPr>
          <w:rFonts w:ascii="Century" w:hAnsi="Century" w:cs="Miriam" w:hint="cs"/>
          <w:b/>
          <w:sz w:val="22"/>
          <w:rtl/>
        </w:rPr>
        <w:t>ארליך</w:t>
      </w:r>
      <w:r w:rsidRPr="00643EF4">
        <w:rPr>
          <w:rFonts w:ascii="Century" w:hAnsi="Century" w:cs="FrankRuehl" w:hint="cs"/>
          <w:spacing w:val="10"/>
          <w:sz w:val="22"/>
          <w:szCs w:val="28"/>
          <w:rtl/>
        </w:rPr>
        <w:t xml:space="preserve">, בעמ' </w:t>
      </w:r>
      <w:r w:rsidRPr="00643EF4">
        <w:rPr>
          <w:rFonts w:ascii="Arial TUR" w:hAnsi="Arial TUR" w:cs="FrankRuehl" w:hint="cs"/>
          <w:spacing w:val="10"/>
          <w:sz w:val="22"/>
          <w:szCs w:val="28"/>
          <w:rtl/>
        </w:rPr>
        <w:t xml:space="preserve">26-23. </w:t>
      </w:r>
      <w:r w:rsidRPr="00643EF4">
        <w:rPr>
          <w:rFonts w:ascii="Century" w:hAnsi="Century" w:cs="FrankRuehl" w:hint="cs"/>
          <w:spacing w:val="10"/>
          <w:sz w:val="22"/>
          <w:szCs w:val="28"/>
          <w:rtl/>
        </w:rPr>
        <w:t xml:space="preserve">וראו גם עניין </w:t>
      </w:r>
      <w:r w:rsidRPr="00643EF4">
        <w:rPr>
          <w:rFonts w:ascii="Miriam" w:hAnsi="Miriam" w:cs="Miriam"/>
          <w:spacing w:val="10"/>
          <w:sz w:val="24"/>
          <w:rtl/>
        </w:rPr>
        <w:t>בית סוריק</w:t>
      </w:r>
      <w:r w:rsidRPr="00643EF4">
        <w:rPr>
          <w:rFonts w:ascii="Century" w:hAnsi="Century" w:cs="FrankRuehl"/>
          <w:spacing w:val="10"/>
          <w:sz w:val="22"/>
          <w:szCs w:val="28"/>
          <w:rtl/>
        </w:rPr>
        <w:t xml:space="preserve"> </w:t>
      </w:r>
      <w:r w:rsidRPr="00643EF4">
        <w:rPr>
          <w:rFonts w:ascii="Century" w:hAnsi="Century" w:cs="FrankRuehl" w:hint="eastAsia"/>
          <w:spacing w:val="10"/>
          <w:sz w:val="22"/>
          <w:szCs w:val="28"/>
          <w:rtl/>
        </w:rPr>
        <w:t>בעמ</w:t>
      </w:r>
      <w:r w:rsidRPr="00643EF4">
        <w:rPr>
          <w:rFonts w:ascii="Century" w:hAnsi="Century" w:cs="FrankRuehl"/>
          <w:spacing w:val="10"/>
          <w:sz w:val="22"/>
          <w:szCs w:val="28"/>
          <w:rtl/>
        </w:rPr>
        <w:t>' 830-829;</w:t>
      </w:r>
      <w:r w:rsidRPr="00643EF4">
        <w:rPr>
          <w:rFonts w:ascii="Century" w:hAnsi="Century" w:cs="FrankRuehl" w:hint="cs"/>
          <w:spacing w:val="10"/>
          <w:sz w:val="22"/>
          <w:szCs w:val="28"/>
          <w:rtl/>
        </w:rPr>
        <w:t xml:space="preserve"> </w:t>
      </w:r>
      <w:r w:rsidRPr="00643EF4">
        <w:rPr>
          <w:rFonts w:ascii="Arial TUR" w:hAnsi="Arial TUR" w:cs="FrankRuehl" w:hint="cs"/>
          <w:spacing w:val="10"/>
          <w:sz w:val="22"/>
          <w:szCs w:val="28"/>
          <w:rtl/>
        </w:rPr>
        <w:t xml:space="preserve">עניין </w:t>
      </w:r>
      <w:r w:rsidRPr="00643EF4">
        <w:rPr>
          <w:rFonts w:ascii="Century" w:hAnsi="Century" w:cs="Miriam" w:hint="cs"/>
          <w:b/>
          <w:sz w:val="22"/>
          <w:rtl/>
        </w:rPr>
        <w:t xml:space="preserve">אבו צפייה. </w:t>
      </w:r>
      <w:r w:rsidRPr="00643EF4">
        <w:rPr>
          <w:rFonts w:ascii="FrankRuehl" w:hAnsi="FrankRuehl" w:cs="FrankRuehl"/>
          <w:b/>
          <w:sz w:val="28"/>
          <w:szCs w:val="28"/>
          <w:rtl/>
        </w:rPr>
        <w:t xml:space="preserve">השוו: עניין </w:t>
      </w:r>
      <w:r w:rsidRPr="00643EF4">
        <w:rPr>
          <w:rFonts w:ascii="Miriam" w:hAnsi="Miriam" w:cs="Miriam"/>
          <w:b/>
          <w:sz w:val="24"/>
          <w:rtl/>
        </w:rPr>
        <w:t>זיאדה</w:t>
      </w:r>
      <w:r w:rsidRPr="00643EF4">
        <w:rPr>
          <w:rFonts w:ascii="FrankRuehl" w:hAnsi="FrankRuehl" w:cs="FrankRuehl"/>
          <w:b/>
          <w:sz w:val="28"/>
          <w:szCs w:val="28"/>
          <w:rtl/>
        </w:rPr>
        <w:t xml:space="preserve">, </w:t>
      </w:r>
      <w:r w:rsidRPr="00643EF4">
        <w:rPr>
          <w:rFonts w:ascii="FrankRuehl" w:hAnsi="FrankRuehl" w:cs="FrankRuehl" w:hint="eastAsia"/>
          <w:b/>
          <w:sz w:val="28"/>
          <w:szCs w:val="28"/>
          <w:rtl/>
        </w:rPr>
        <w:t>ו</w:t>
      </w:r>
      <w:r w:rsidRPr="00643EF4">
        <w:rPr>
          <w:rFonts w:ascii="Century" w:hAnsi="Century" w:cs="Miriam" w:hint="cs"/>
          <w:b/>
          <w:sz w:val="22"/>
          <w:rtl/>
        </w:rPr>
        <w:t>דנג"ץ זיאדה</w:t>
      </w:r>
      <w:r w:rsidRPr="00643EF4">
        <w:rPr>
          <w:rFonts w:ascii="FrankRuehl" w:hAnsi="FrankRuehl" w:cs="FrankRuehl"/>
          <w:b/>
          <w:sz w:val="28"/>
          <w:szCs w:val="28"/>
          <w:rtl/>
        </w:rPr>
        <w:t xml:space="preserve">, </w:t>
      </w:r>
      <w:r w:rsidRPr="00643EF4">
        <w:rPr>
          <w:rFonts w:ascii="FrankRuehl" w:hAnsi="FrankRuehl" w:cs="FrankRuehl" w:hint="eastAsia"/>
          <w:b/>
          <w:sz w:val="28"/>
          <w:szCs w:val="28"/>
          <w:rtl/>
        </w:rPr>
        <w:t>ב</w:t>
      </w:r>
      <w:r w:rsidRPr="00643EF4">
        <w:rPr>
          <w:rFonts w:ascii="FrankRuehl" w:hAnsi="FrankRuehl" w:cs="FrankRuehl" w:hint="cs"/>
          <w:b/>
          <w:sz w:val="28"/>
          <w:szCs w:val="28"/>
          <w:rtl/>
        </w:rPr>
        <w:t xml:space="preserve">פסקה 7). </w:t>
      </w:r>
    </w:p>
    <w:p w14:paraId="33E4E889" w14:textId="77777777" w:rsidR="00190218" w:rsidRPr="00643EF4" w:rsidRDefault="00190218" w:rsidP="00190218">
      <w:pPr>
        <w:ind w:left="1642" w:right="1282"/>
        <w:jc w:val="both"/>
        <w:rPr>
          <w:rFonts w:ascii="FrankRuehl" w:hAnsi="FrankRuehl" w:cs="FrankRuehl"/>
          <w:b/>
          <w:sz w:val="28"/>
          <w:szCs w:val="28"/>
          <w:rtl/>
        </w:rPr>
      </w:pPr>
    </w:p>
    <w:p w14:paraId="6FB99141" w14:textId="77777777" w:rsidR="00190218" w:rsidRPr="00643EF4" w:rsidRDefault="00190218" w:rsidP="00190218">
      <w:pPr>
        <w:tabs>
          <w:tab w:val="left" w:pos="800"/>
        </w:tabs>
        <w:spacing w:line="360" w:lineRule="auto"/>
        <w:jc w:val="both"/>
        <w:rPr>
          <w:rFonts w:ascii="Garamond" w:hAnsi="Garamond" w:cs="Miriam"/>
          <w:b/>
          <w:sz w:val="24"/>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עמדה זו קיבלה ביטוי גם בכתיבה האקדמית (ראו: </w:t>
      </w:r>
      <w:r w:rsidRPr="00643EF4">
        <w:rPr>
          <w:rFonts w:ascii="Century" w:hAnsi="Century" w:cs="Miriam" w:hint="cs"/>
          <w:b/>
          <w:sz w:val="22"/>
          <w:rtl/>
        </w:rPr>
        <w:t>התפרקותה של פרדיגמת הכיבוש בשטחים</w:t>
      </w:r>
      <w:r w:rsidRPr="00643EF4">
        <w:rPr>
          <w:rFonts w:ascii="Garamond" w:hAnsi="Garamond" w:cs="FrankRuehl" w:hint="cs"/>
          <w:spacing w:val="10"/>
          <w:sz w:val="24"/>
          <w:szCs w:val="28"/>
          <w:rtl/>
        </w:rPr>
        <w:t xml:space="preserve">, בעמ' 21-19; </w:t>
      </w:r>
      <w:r w:rsidRPr="00643EF4">
        <w:rPr>
          <w:rFonts w:ascii="Garamond" w:hAnsi="Garamond" w:cs="FrankRuehl"/>
          <w:spacing w:val="10"/>
          <w:sz w:val="24"/>
          <w:szCs w:val="28"/>
        </w:rPr>
        <w:t>Playfair</w:t>
      </w:r>
      <w:r w:rsidRPr="00643EF4">
        <w:rPr>
          <w:rFonts w:ascii="Garamond" w:hAnsi="Garamond" w:cs="FrankRuehl" w:hint="cs"/>
          <w:spacing w:val="10"/>
          <w:sz w:val="24"/>
          <w:szCs w:val="28"/>
          <w:rtl/>
        </w:rPr>
        <w:t xml:space="preserve">, בעמ' 223-220; </w:t>
      </w:r>
      <w:r w:rsidRPr="00643EF4">
        <w:rPr>
          <w:rFonts w:ascii="Century" w:hAnsi="Century" w:cs="FrankRuehl"/>
          <w:spacing w:val="10"/>
          <w:sz w:val="22"/>
          <w:szCs w:val="22"/>
        </w:rPr>
        <w:t>Guy Harpaz and Yuval</w:t>
      </w:r>
      <w:r w:rsidRPr="00643EF4">
        <w:rPr>
          <w:rFonts w:ascii="Garamond" w:hAnsi="Garamond" w:cs="FrankRuehl"/>
          <w:spacing w:val="10"/>
          <w:sz w:val="24"/>
          <w:szCs w:val="28"/>
        </w:rPr>
        <w:t xml:space="preserve"> </w:t>
      </w:r>
      <w:r w:rsidRPr="00643EF4">
        <w:rPr>
          <w:rFonts w:ascii="Century" w:hAnsi="Century" w:cs="FrankRuehl"/>
          <w:spacing w:val="10"/>
          <w:sz w:val="22"/>
          <w:szCs w:val="22"/>
        </w:rPr>
        <w:t xml:space="preserve">Shany, </w:t>
      </w:r>
      <w:r w:rsidRPr="00643EF4">
        <w:rPr>
          <w:rFonts w:ascii="Century" w:hAnsi="Century" w:cs="FrankRuehl"/>
          <w:i/>
          <w:iCs/>
          <w:spacing w:val="10"/>
          <w:sz w:val="22"/>
          <w:szCs w:val="22"/>
        </w:rPr>
        <w:t>Israeli Supreme Court and the Incremental Expansion of the Scope of Discretion under Belligerent Occupation</w:t>
      </w:r>
      <w:r w:rsidRPr="00643EF4">
        <w:rPr>
          <w:rFonts w:ascii="Century" w:hAnsi="Century" w:cs="FrankRuehl"/>
          <w:spacing w:val="10"/>
          <w:sz w:val="22"/>
          <w:szCs w:val="22"/>
        </w:rPr>
        <w:t xml:space="preserve">, 43 </w:t>
      </w:r>
      <w:r w:rsidRPr="00643EF4">
        <w:rPr>
          <w:rFonts w:ascii="Century" w:hAnsi="Century" w:cs="FrankRuehl"/>
          <w:smallCaps/>
          <w:spacing w:val="10"/>
          <w:sz w:val="22"/>
          <w:szCs w:val="22"/>
        </w:rPr>
        <w:t xml:space="preserve">Israel L. Rev. </w:t>
      </w:r>
      <w:r w:rsidRPr="00643EF4">
        <w:rPr>
          <w:rFonts w:ascii="Century" w:hAnsi="Century" w:cs="FrankRuehl"/>
          <w:spacing w:val="10"/>
          <w:sz w:val="22"/>
          <w:szCs w:val="22"/>
        </w:rPr>
        <w:t>514 (2010)</w:t>
      </w:r>
      <w:r w:rsidRPr="00643EF4">
        <w:rPr>
          <w:rFonts w:ascii="Garamond" w:hAnsi="Garamond" w:cs="FrankRuehl" w:hint="cs"/>
          <w:spacing w:val="10"/>
          <w:sz w:val="24"/>
          <w:szCs w:val="28"/>
          <w:rtl/>
        </w:rPr>
        <w:t xml:space="preserve">; </w:t>
      </w:r>
      <w:r w:rsidRPr="00643EF4">
        <w:rPr>
          <w:rFonts w:ascii="Century" w:hAnsi="Century" w:cs="FrankRuehl"/>
          <w:smallCaps/>
          <w:spacing w:val="10"/>
          <w:sz w:val="22"/>
          <w:szCs w:val="22"/>
        </w:rPr>
        <w:t>G. Von Glahn,</w:t>
      </w:r>
      <w:r w:rsidRPr="00643EF4">
        <w:rPr>
          <w:rFonts w:ascii="Century" w:hAnsi="Century" w:cs="FrankRuehl"/>
          <w:smallCaps/>
          <w:spacing w:val="10"/>
          <w:sz w:val="22"/>
          <w:szCs w:val="28"/>
        </w:rPr>
        <w:t xml:space="preserve"> The Occupation of Enemy Territory,</w:t>
      </w:r>
      <w:r w:rsidRPr="00643EF4">
        <w:rPr>
          <w:rFonts w:ascii="Century" w:hAnsi="Century" w:cs="FrankRuehl"/>
          <w:spacing w:val="10"/>
          <w:sz w:val="22"/>
          <w:szCs w:val="22"/>
        </w:rPr>
        <w:t xml:space="preserve"> 186 (1957)</w:t>
      </w:r>
      <w:r w:rsidRPr="00643EF4">
        <w:rPr>
          <w:rFonts w:ascii="Garamond" w:hAnsi="Garamond" w:cs="FrankRuehl" w:hint="cs"/>
          <w:spacing w:val="10"/>
          <w:sz w:val="24"/>
          <w:szCs w:val="28"/>
          <w:rtl/>
        </w:rPr>
        <w:t>).</w:t>
      </w:r>
    </w:p>
    <w:p w14:paraId="3D066160"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p>
    <w:p w14:paraId="38D275F8" w14:textId="541EDC6D" w:rsidR="00190218" w:rsidRPr="00643EF4" w:rsidRDefault="00190218" w:rsidP="00190218">
      <w:pPr>
        <w:pStyle w:val="Ruller4"/>
      </w:pPr>
      <w:r w:rsidRPr="00643EF4">
        <w:rPr>
          <w:rFonts w:hint="cs"/>
          <w:rtl/>
        </w:rPr>
        <w:t xml:space="preserve">הממשלה טוענת בהקשר זה כי העמדה לפיה חובתו של המפקד הצבאי להבטיח את צורכי האוכלוסייה המקומית באזור חלה אף ביחס לאותם מאות אלפי אזרחים ישראלים המתגוררים באזור, ואשר חלקם אף נולדו בו. לשיטתה, אין מקום להבחין בין אוכלוסייה זו ובין האוכלוסייה הפלסטינית הכפופות לאותו משטר קרקעות. </w:t>
      </w:r>
    </w:p>
    <w:p w14:paraId="7D04799D" w14:textId="77777777" w:rsidR="00190218" w:rsidRPr="00643EF4" w:rsidRDefault="00190218" w:rsidP="00190218">
      <w:pPr>
        <w:tabs>
          <w:tab w:val="left" w:pos="800"/>
        </w:tabs>
        <w:spacing w:line="360" w:lineRule="auto"/>
        <w:jc w:val="both"/>
        <w:rPr>
          <w:rFonts w:ascii="Garamond" w:hAnsi="Garamond" w:cs="FrankRuehl"/>
          <w:spacing w:val="10"/>
          <w:sz w:val="24"/>
          <w:szCs w:val="28"/>
        </w:rPr>
      </w:pPr>
    </w:p>
    <w:p w14:paraId="2FBA8A07"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אין לקבל טענה זו, המתעלמת ממכלול ההיבטים המבדילים את האוכלוסייה הישראלית באזור מן האוכלוסייה הפלסטינית ומכל מקום, כפי שפורט לעיל ועוד יפורט להלן, הדין החל באזור על האוכלוסייה הפלסטינית אין בו כדי לסייע לטיעון שמעלה הממשלה בהקשר זה. אומנם, כפי שנקבע בפסיקתו של בית משפט זה, המפקד הצבאי רשאי מכוח סמכותו לפי תקנה 43 לתקנות האג לשקול גם שיקולים הנוגעים לטובת האוכלוסייה המקומית בכללותה, לרבות האוכלוסייה הישראלית באזור (עניין </w:t>
      </w:r>
      <w:r w:rsidRPr="00643EF4">
        <w:rPr>
          <w:rFonts w:ascii="Century" w:hAnsi="Century" w:cs="Miriam" w:hint="cs"/>
          <w:b/>
          <w:sz w:val="22"/>
          <w:rtl/>
        </w:rPr>
        <w:t>אבו צפייה</w:t>
      </w:r>
      <w:r w:rsidRPr="00643EF4">
        <w:rPr>
          <w:rFonts w:ascii="Garamond" w:hAnsi="Garamond" w:cs="FrankRuehl" w:hint="cs"/>
          <w:spacing w:val="10"/>
          <w:sz w:val="24"/>
          <w:szCs w:val="28"/>
          <w:rtl/>
        </w:rPr>
        <w:t xml:space="preserve">, בפסקה 20). אולם, ככל שעסקינן בשאלה של "צורך ציבורי" לפי דיני ההפקעות החלים באזור, איני סבורה כי אלה מתירים הפקעה של מקרקעין פרטיים בבעלות פלסטינית או במקרקעין שיש מי שטוען לזיקה קניינית בהם, וזאת לצורך הקמה והרחבה של יישובים ישראלים ולצורך זה בלבד. </w:t>
      </w:r>
    </w:p>
    <w:p w14:paraId="224DEA1D"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221B1D86" w14:textId="477F06B8"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האם הדין החל בישראל יש בו כדי לסייע, ולו על דרך ההיקש, לטענה כי בענייננו מדובר ב"צורך ציבורי" המצדיק נטילה כפויה של מקרקעין באזור</w:t>
      </w:r>
      <w:r w:rsidR="0029639A" w:rsidRPr="00643EF4">
        <w:rPr>
          <w:rFonts w:ascii="Garamond" w:hAnsi="Garamond" w:cs="FrankRuehl" w:hint="cs"/>
          <w:spacing w:val="10"/>
          <w:sz w:val="24"/>
          <w:szCs w:val="28"/>
          <w:rtl/>
        </w:rPr>
        <w:t>,</w:t>
      </w:r>
      <w:r w:rsidRPr="00643EF4">
        <w:rPr>
          <w:rFonts w:ascii="Garamond" w:hAnsi="Garamond" w:cs="FrankRuehl" w:hint="cs"/>
          <w:spacing w:val="10"/>
          <w:sz w:val="24"/>
          <w:szCs w:val="28"/>
          <w:rtl/>
        </w:rPr>
        <w:t xml:space="preserve"> שאינם </w:t>
      </w:r>
      <w:r w:rsidR="0029639A" w:rsidRPr="00643EF4">
        <w:rPr>
          <w:rFonts w:ascii="Garamond" w:hAnsi="Garamond" w:cs="FrankRuehl" w:hint="cs"/>
          <w:spacing w:val="10"/>
          <w:sz w:val="24"/>
          <w:szCs w:val="28"/>
          <w:rtl/>
        </w:rPr>
        <w:t>"</w:t>
      </w:r>
      <w:r w:rsidRPr="00643EF4">
        <w:rPr>
          <w:rFonts w:ascii="Garamond" w:hAnsi="Garamond" w:cs="FrankRuehl" w:hint="cs"/>
          <w:spacing w:val="10"/>
          <w:sz w:val="24"/>
          <w:szCs w:val="28"/>
          <w:rtl/>
        </w:rPr>
        <w:t>רכוש ממשלתי</w:t>
      </w:r>
      <w:r w:rsidR="0029639A" w:rsidRPr="00643EF4">
        <w:rPr>
          <w:rFonts w:ascii="Garamond" w:hAnsi="Garamond" w:cs="FrankRuehl" w:hint="cs"/>
          <w:spacing w:val="10"/>
          <w:sz w:val="24"/>
          <w:szCs w:val="28"/>
          <w:rtl/>
        </w:rPr>
        <w:t>"</w:t>
      </w:r>
      <w:r w:rsidRPr="00643EF4">
        <w:rPr>
          <w:rFonts w:ascii="Garamond" w:hAnsi="Garamond" w:cs="FrankRuehl" w:hint="cs"/>
          <w:spacing w:val="10"/>
          <w:sz w:val="24"/>
          <w:szCs w:val="28"/>
          <w:rtl/>
        </w:rPr>
        <w:t xml:space="preserve">? לסוגיה זו אפנה עתה. </w:t>
      </w:r>
    </w:p>
    <w:p w14:paraId="05485FFF" w14:textId="77777777" w:rsidR="00190218" w:rsidRPr="00643EF4" w:rsidRDefault="00190218" w:rsidP="00190218">
      <w:pPr>
        <w:tabs>
          <w:tab w:val="left" w:pos="800"/>
        </w:tabs>
        <w:spacing w:line="360" w:lineRule="auto"/>
        <w:jc w:val="both"/>
        <w:rPr>
          <w:rFonts w:ascii="Century" w:hAnsi="Century" w:cs="Miriam"/>
          <w:b/>
          <w:sz w:val="22"/>
          <w:rtl/>
        </w:rPr>
      </w:pPr>
    </w:p>
    <w:p w14:paraId="44976399"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(ב) הפקעת מקרקעין בדין הישראלי</w:t>
      </w:r>
    </w:p>
    <w:p w14:paraId="7ED4B3A1" w14:textId="77777777" w:rsidR="00190218" w:rsidRPr="00643EF4" w:rsidRDefault="00190218" w:rsidP="00190218">
      <w:pPr>
        <w:tabs>
          <w:tab w:val="left" w:pos="800"/>
        </w:tabs>
        <w:spacing w:line="360" w:lineRule="auto"/>
        <w:jc w:val="both"/>
        <w:rPr>
          <w:rFonts w:ascii="Century" w:hAnsi="Century" w:cs="Miriam"/>
          <w:b/>
          <w:sz w:val="22"/>
          <w:rtl/>
        </w:rPr>
      </w:pPr>
    </w:p>
    <w:p w14:paraId="40FC1988" w14:textId="750EF009" w:rsidR="00190218" w:rsidRPr="00643EF4" w:rsidRDefault="00190218" w:rsidP="00190218">
      <w:pPr>
        <w:pStyle w:val="Ruller4"/>
        <w:rPr>
          <w:rtl/>
        </w:rPr>
      </w:pPr>
      <w:r w:rsidRPr="00643EF4">
        <w:rPr>
          <w:rFonts w:hint="cs"/>
          <w:rtl/>
        </w:rPr>
        <w:t>בספר החוקים הישראלי ניתן למצוא שורה של חוקים המאפשרים הפקעת מקרקעין של אדם ל</w:t>
      </w:r>
      <w:r w:rsidRPr="00643EF4">
        <w:rPr>
          <w:rFonts w:cs="Miriam" w:hint="cs"/>
          <w:b/>
          <w:szCs w:val="24"/>
          <w:rtl/>
        </w:rPr>
        <w:t xml:space="preserve">צרכי ציבור, </w:t>
      </w:r>
      <w:r w:rsidRPr="00643EF4">
        <w:rPr>
          <w:rFonts w:ascii="FrankRuehl" w:hAnsi="FrankRuehl"/>
          <w:b/>
          <w:sz w:val="28"/>
          <w:rtl/>
        </w:rPr>
        <w:t>ובכלל זה</w:t>
      </w:r>
      <w:r w:rsidRPr="00643EF4">
        <w:rPr>
          <w:rFonts w:hint="cs"/>
          <w:rtl/>
        </w:rPr>
        <w:t xml:space="preserve"> לצורך הקמה, הרחבה או פיתוח של יישוב</w:t>
      </w:r>
      <w:r w:rsidRPr="00643EF4">
        <w:rPr>
          <w:rFonts w:cs="Miriam" w:hint="cs"/>
          <w:b/>
          <w:szCs w:val="24"/>
          <w:rtl/>
        </w:rPr>
        <w:t xml:space="preserve"> </w:t>
      </w:r>
      <w:r w:rsidRPr="00643EF4">
        <w:rPr>
          <w:rFonts w:hint="cs"/>
          <w:rtl/>
        </w:rPr>
        <w:t xml:space="preserve">(ראו פקודת הקרקעות (רכישה לצרכי ציבור), 1943 (להלן: </w:t>
      </w:r>
      <w:r w:rsidRPr="00643EF4">
        <w:rPr>
          <w:rFonts w:cs="Miriam" w:hint="cs"/>
          <w:b/>
          <w:szCs w:val="24"/>
          <w:rtl/>
        </w:rPr>
        <w:t>פקודת הקרקעות</w:t>
      </w:r>
      <w:r w:rsidRPr="00643EF4">
        <w:rPr>
          <w:rFonts w:hint="cs"/>
          <w:rtl/>
        </w:rPr>
        <w:t xml:space="preserve">) וחוק התכנון והבניה, התשכ"ה-1965 (להלן: </w:t>
      </w:r>
      <w:r w:rsidRPr="00643EF4">
        <w:rPr>
          <w:rFonts w:cs="Miriam" w:hint="cs"/>
          <w:b/>
          <w:szCs w:val="24"/>
          <w:rtl/>
        </w:rPr>
        <w:t>חוק התכנון והבניה</w:t>
      </w:r>
      <w:r w:rsidRPr="00643EF4">
        <w:rPr>
          <w:rFonts w:hint="cs"/>
          <w:rtl/>
        </w:rPr>
        <w:t xml:space="preserve">). לפירוט ראו אריה קמר </w:t>
      </w:r>
      <w:r w:rsidRPr="00643EF4">
        <w:rPr>
          <w:rFonts w:cs="Miriam" w:hint="cs"/>
          <w:b/>
          <w:szCs w:val="24"/>
          <w:rtl/>
        </w:rPr>
        <w:t>דיני הפקעת מקרקעין</w:t>
      </w:r>
      <w:r w:rsidRPr="00643EF4">
        <w:rPr>
          <w:rFonts w:hint="cs"/>
          <w:rtl/>
        </w:rPr>
        <w:t xml:space="preserve"> 223-79 (2013) (להלן: </w:t>
      </w:r>
      <w:r w:rsidRPr="00643EF4">
        <w:rPr>
          <w:rFonts w:cs="Miriam" w:hint="cs"/>
          <w:b/>
          <w:szCs w:val="24"/>
          <w:rtl/>
        </w:rPr>
        <w:t>קמר</w:t>
      </w:r>
      <w:r w:rsidRPr="00643EF4">
        <w:rPr>
          <w:rFonts w:hint="cs"/>
          <w:rtl/>
        </w:rPr>
        <w:t xml:space="preserve">); ראו עוד אהרן נמדר </w:t>
      </w:r>
      <w:r w:rsidRPr="00643EF4">
        <w:rPr>
          <w:rFonts w:ascii="Century" w:hAnsi="Century" w:cs="Miriam" w:hint="cs"/>
          <w:b/>
          <w:sz w:val="22"/>
          <w:szCs w:val="24"/>
          <w:rtl/>
        </w:rPr>
        <w:t>הפקעת מקרקעין</w:t>
      </w:r>
      <w:r w:rsidRPr="00643EF4">
        <w:rPr>
          <w:rFonts w:ascii="Century" w:hAnsi="Century" w:hint="cs"/>
          <w:sz w:val="22"/>
          <w:rtl/>
        </w:rPr>
        <w:t xml:space="preserve"> 35-34, 110-85 (2011) (להלן: </w:t>
      </w:r>
      <w:r w:rsidRPr="00643EF4">
        <w:rPr>
          <w:rFonts w:ascii="Century" w:hAnsi="Century" w:cs="Miriam" w:hint="cs"/>
          <w:b/>
          <w:sz w:val="22"/>
          <w:szCs w:val="24"/>
          <w:rtl/>
        </w:rPr>
        <w:t>נמדר</w:t>
      </w:r>
      <w:r w:rsidRPr="00643EF4">
        <w:rPr>
          <w:rFonts w:ascii="Century" w:hAnsi="Century" w:hint="cs"/>
          <w:sz w:val="22"/>
          <w:rtl/>
        </w:rPr>
        <w:t>)</w:t>
      </w:r>
      <w:r w:rsidRPr="00643EF4">
        <w:rPr>
          <w:rFonts w:hint="cs"/>
          <w:rtl/>
        </w:rPr>
        <w:t xml:space="preserve">). העיקרון המרכזי שעליו מיוסדת הנטילה הכפויה בדרך של הפקעה הוא שמדובר בנטילה לצרכי ציבור. </w:t>
      </w:r>
      <w:r w:rsidRPr="00643EF4">
        <w:rPr>
          <w:rFonts w:ascii="Century" w:hAnsi="Century" w:hint="cs"/>
          <w:sz w:val="22"/>
          <w:rtl/>
        </w:rPr>
        <w:t>חוק התכנון והבניה מפרט בסעיף 188(ב) רשימה של שימושים המהווים "צרכי ציבור"</w:t>
      </w:r>
      <w:r w:rsidR="00D31327" w:rsidRPr="00643EF4">
        <w:rPr>
          <w:rFonts w:ascii="Century" w:hAnsi="Century" w:hint="cs"/>
          <w:sz w:val="22"/>
          <w:rtl/>
        </w:rPr>
        <w:t>,</w:t>
      </w:r>
      <w:r w:rsidRPr="00643EF4">
        <w:rPr>
          <w:rFonts w:ascii="Century" w:hAnsi="Century" w:hint="cs"/>
          <w:sz w:val="22"/>
          <w:rtl/>
        </w:rPr>
        <w:t xml:space="preserve"> המצדיקים הפקעת מקרקעין פרטיים. רשימה זו אינה כוללת שימוש למגורים, אך שר הפנים הפעיל את הסמכות המוקנית לו לאשר מטרות ציבוריות נוספות להפקעה מכוח חוק התכנון והבניה, והוסיף מטרה ציבורית של הפקעה לצורך הקמת "שכונות מגורים לצורך קליטת עליה" (ראו י"פ 3870, התשנ"א, בעמ' 2247; לביקורת ראו נירה אורני ורחל אלתרמן </w:t>
      </w:r>
      <w:r w:rsidRPr="00643EF4">
        <w:rPr>
          <w:rFonts w:ascii="Century" w:hAnsi="Century" w:cs="Miriam" w:hint="cs"/>
          <w:b/>
          <w:sz w:val="22"/>
          <w:szCs w:val="24"/>
          <w:rtl/>
        </w:rPr>
        <w:t xml:space="preserve">הפקעות קרקע: זכויות היחיד מול צורכי הציבורי ההסדר בישראל במבט בינלאומי משווה </w:t>
      </w:r>
      <w:r w:rsidRPr="00643EF4">
        <w:rPr>
          <w:rFonts w:ascii="Century" w:hAnsi="Century" w:hint="cs"/>
          <w:sz w:val="22"/>
          <w:rtl/>
        </w:rPr>
        <w:t>חלק ב, 38 (1995); ראו עוד אצל</w:t>
      </w:r>
      <w:r w:rsidRPr="00643EF4">
        <w:rPr>
          <w:rFonts w:hint="cs"/>
          <w:rtl/>
        </w:rPr>
        <w:t xml:space="preserve"> </w:t>
      </w:r>
      <w:r w:rsidRPr="00643EF4">
        <w:rPr>
          <w:rFonts w:ascii="Century" w:hAnsi="Century" w:cs="Miriam" w:hint="cs"/>
          <w:b/>
          <w:sz w:val="22"/>
          <w:szCs w:val="24"/>
          <w:rtl/>
        </w:rPr>
        <w:t>קמר</w:t>
      </w:r>
      <w:r w:rsidRPr="00643EF4">
        <w:rPr>
          <w:rFonts w:hint="cs"/>
          <w:rtl/>
        </w:rPr>
        <w:t xml:space="preserve">, בעמ' 131; </w:t>
      </w:r>
      <w:r w:rsidRPr="00643EF4">
        <w:rPr>
          <w:rFonts w:ascii="Century" w:hAnsi="Century" w:cs="Miriam" w:hint="cs"/>
          <w:b/>
          <w:sz w:val="22"/>
          <w:szCs w:val="24"/>
          <w:rtl/>
        </w:rPr>
        <w:t>נמדר</w:t>
      </w:r>
      <w:r w:rsidRPr="00643EF4">
        <w:rPr>
          <w:rFonts w:hint="cs"/>
          <w:rtl/>
        </w:rPr>
        <w:t>, בעמ' 205-204). לפי העמדה שהציג היועץ המשפטי לממשלה לא מתבצעת בישראל כיום הפקעה מכוח פקודת הקרקעות להעברת זכויות במקרקעין המיועדים או המשמשים למגורים מאדם אחד לאדם אחר, ובלשונו: "הפקעה לטובת הקמתו או הרחבתו של יישוב נעשית דרך כלל כאשר הקרקע אינה מיועדת או משמשת למגורים, שכן במצב אחרון זה נבחנות דרכים אחרות שיובילו לקיום המטרה בפגיעה מינימלית בזכות הקניין של הפרט" (פסקה 180 לתגובת היועץ המשפטי לממשלה לעתירות).</w:t>
      </w:r>
    </w:p>
    <w:p w14:paraId="226C3B91"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2D35F641" w14:textId="1DFE0469" w:rsidR="00190218" w:rsidRPr="00643EF4" w:rsidRDefault="00190218" w:rsidP="00F86CF9">
      <w:pPr>
        <w:pStyle w:val="Ruller4"/>
        <w:rPr>
          <w:rtl/>
        </w:rPr>
      </w:pPr>
      <w:r w:rsidRPr="00643EF4">
        <w:rPr>
          <w:rFonts w:hint="cs"/>
          <w:rtl/>
        </w:rPr>
        <w:t xml:space="preserve">בראשית ימי המדינה הופקעו אדמות שהיו שייכות, בין היתר, לתושבי הארץ הערבים כדי להקים ישובים ישראלים (חיים זנדברג </w:t>
      </w:r>
      <w:r w:rsidRPr="00643EF4">
        <w:rPr>
          <w:rFonts w:ascii="Century" w:hAnsi="Century" w:cs="Miriam" w:hint="cs"/>
          <w:b/>
          <w:szCs w:val="24"/>
          <w:rtl/>
        </w:rPr>
        <w:t>מקרקעי ישראל ציונות ופוסט-ציונות</w:t>
      </w:r>
      <w:r w:rsidRPr="00643EF4">
        <w:rPr>
          <w:rFonts w:hint="cs"/>
          <w:rtl/>
        </w:rPr>
        <w:t xml:space="preserve"> 88-87, 102-101 (2007) (להלן: </w:t>
      </w:r>
      <w:r w:rsidRPr="00643EF4">
        <w:rPr>
          <w:rFonts w:ascii="Century" w:hAnsi="Century" w:cs="Miriam" w:hint="cs"/>
          <w:b/>
          <w:szCs w:val="24"/>
          <w:rtl/>
        </w:rPr>
        <w:t>זנדברג</w:t>
      </w:r>
      <w:r w:rsidRPr="00643EF4">
        <w:rPr>
          <w:rFonts w:hint="cs"/>
          <w:rtl/>
        </w:rPr>
        <w:t xml:space="preserve">); </w:t>
      </w:r>
      <w:r w:rsidRPr="00643EF4">
        <w:rPr>
          <w:rFonts w:ascii="Century" w:hAnsi="Century" w:hint="cs"/>
          <w:sz w:val="22"/>
          <w:rtl/>
        </w:rPr>
        <w:t xml:space="preserve">אייל גרוס "זכות הקניין כזכות חוקתית וחוק-יסוד: כבוד האדם וחירותו" </w:t>
      </w:r>
      <w:r w:rsidRPr="00643EF4">
        <w:rPr>
          <w:rFonts w:ascii="Century" w:hAnsi="Century" w:cs="Miriam" w:hint="cs"/>
          <w:b/>
          <w:sz w:val="22"/>
          <w:szCs w:val="24"/>
          <w:rtl/>
        </w:rPr>
        <w:t>מקרקעין בישראל: בין הפרטי ללאומי</w:t>
      </w:r>
      <w:r w:rsidRPr="00643EF4">
        <w:rPr>
          <w:rFonts w:ascii="Century" w:hAnsi="Century" w:hint="cs"/>
          <w:sz w:val="22"/>
          <w:rtl/>
        </w:rPr>
        <w:t xml:space="preserve"> 53, 86 (1999); יפעת הולצמן-גזית "דיני הפקעת מקרקעין בשנות החמישים בראי האידיאולוגיה הציונית של קליטת עלייה וקניין פרטי" </w:t>
      </w:r>
      <w:r w:rsidRPr="00643EF4">
        <w:rPr>
          <w:rFonts w:ascii="Century" w:hAnsi="Century" w:cs="Miriam" w:hint="cs"/>
          <w:b/>
          <w:sz w:val="22"/>
          <w:szCs w:val="24"/>
          <w:rtl/>
        </w:rPr>
        <w:t>מקרקעין בישראל: בין הפרטי ללאומי</w:t>
      </w:r>
      <w:r w:rsidRPr="00643EF4">
        <w:rPr>
          <w:rFonts w:ascii="Century" w:hAnsi="Century" w:hint="cs"/>
          <w:sz w:val="22"/>
          <w:rtl/>
        </w:rPr>
        <w:t xml:space="preserve"> 223, 237-234 (1999) (להלן: </w:t>
      </w:r>
      <w:r w:rsidRPr="00643EF4">
        <w:rPr>
          <w:rFonts w:ascii="Century" w:hAnsi="Century" w:cs="Miriam" w:hint="cs"/>
          <w:b/>
          <w:sz w:val="22"/>
          <w:szCs w:val="24"/>
          <w:rtl/>
        </w:rPr>
        <w:t>הולצמן-גזית</w:t>
      </w:r>
      <w:r w:rsidRPr="00643EF4">
        <w:rPr>
          <w:rFonts w:ascii="Century" w:hAnsi="Century" w:hint="cs"/>
          <w:sz w:val="22"/>
          <w:rtl/>
        </w:rPr>
        <w:t>)</w:t>
      </w:r>
      <w:r w:rsidRPr="00643EF4">
        <w:rPr>
          <w:rFonts w:hint="cs"/>
          <w:rtl/>
        </w:rPr>
        <w:t xml:space="preserve">). בשנת 1953 אף נחקק </w:t>
      </w:r>
      <w:r w:rsidRPr="00643EF4">
        <w:rPr>
          <w:rtl/>
        </w:rPr>
        <w:t xml:space="preserve">חוק רכישת מקרקעים (אישור פעולות ופיצויים), </w:t>
      </w:r>
      <w:r w:rsidRPr="00643EF4">
        <w:rPr>
          <w:rFonts w:hint="cs"/>
          <w:rtl/>
        </w:rPr>
        <w:t>ה</w:t>
      </w:r>
      <w:r w:rsidRPr="00643EF4">
        <w:rPr>
          <w:rtl/>
        </w:rPr>
        <w:t>תשי"ג-1953</w:t>
      </w:r>
      <w:r w:rsidRPr="00643EF4">
        <w:rPr>
          <w:rFonts w:hint="cs"/>
          <w:rtl/>
        </w:rPr>
        <w:t xml:space="preserve"> (להלן: </w:t>
      </w:r>
      <w:r w:rsidRPr="00643EF4">
        <w:rPr>
          <w:rFonts w:ascii="Century" w:hAnsi="Century" w:cs="Miriam" w:hint="cs"/>
          <w:b/>
          <w:szCs w:val="24"/>
          <w:rtl/>
        </w:rPr>
        <w:t>החר"ם</w:t>
      </w:r>
      <w:r w:rsidRPr="00643EF4">
        <w:rPr>
          <w:rFonts w:hint="cs"/>
          <w:rtl/>
        </w:rPr>
        <w:t xml:space="preserve">) שהסדיר הפקעות </w:t>
      </w:r>
      <w:r w:rsidRPr="00643EF4">
        <w:rPr>
          <w:rFonts w:hint="cs"/>
          <w:rtl/>
        </w:rPr>
        <w:lastRenderedPageBreak/>
        <w:t xml:space="preserve">מקרקעין </w:t>
      </w:r>
      <w:r w:rsidRPr="00643EF4">
        <w:rPr>
          <w:rFonts w:ascii="Arial TUR" w:hAnsi="Arial TUR" w:hint="cs"/>
          <w:sz w:val="22"/>
          <w:rtl/>
        </w:rPr>
        <w:t xml:space="preserve">לצורכי ביטחון, ולצורך פיתוח והתיישבות יהודית, לרבות הקמה של מגורים לעולים ובניית מוסדות ציבור. בחלק מן המקרים בוצעה ההפקעה מכוח חוק זה </w:t>
      </w:r>
      <w:r w:rsidRPr="00643EF4">
        <w:rPr>
          <w:rFonts w:ascii="Century" w:hAnsi="Century" w:cs="Miriam" w:hint="eastAsia"/>
          <w:b/>
          <w:sz w:val="22"/>
          <w:szCs w:val="24"/>
          <w:rtl/>
        </w:rPr>
        <w:t>לאחר</w:t>
      </w:r>
      <w:r w:rsidRPr="00643EF4">
        <w:rPr>
          <w:rFonts w:ascii="Century" w:hAnsi="Century" w:cs="Miriam"/>
          <w:b/>
          <w:sz w:val="22"/>
          <w:szCs w:val="24"/>
          <w:rtl/>
        </w:rPr>
        <w:t xml:space="preserve"> </w:t>
      </w:r>
      <w:r w:rsidRPr="00643EF4">
        <w:rPr>
          <w:rFonts w:ascii="Century" w:hAnsi="Century" w:cs="Miriam" w:hint="eastAsia"/>
          <w:b/>
          <w:sz w:val="22"/>
          <w:szCs w:val="24"/>
          <w:rtl/>
        </w:rPr>
        <w:t>שכבר</w:t>
      </w:r>
      <w:r w:rsidRPr="00643EF4">
        <w:rPr>
          <w:rFonts w:ascii="Century" w:hAnsi="Century" w:cs="Miriam"/>
          <w:b/>
          <w:sz w:val="22"/>
          <w:szCs w:val="24"/>
          <w:rtl/>
        </w:rPr>
        <w:t xml:space="preserve"> </w:t>
      </w:r>
      <w:r w:rsidRPr="00643EF4">
        <w:rPr>
          <w:rFonts w:ascii="Century" w:hAnsi="Century" w:cs="Miriam" w:hint="eastAsia"/>
          <w:b/>
          <w:sz w:val="22"/>
          <w:szCs w:val="24"/>
          <w:rtl/>
        </w:rPr>
        <w:t>נעשה</w:t>
      </w:r>
      <w:r w:rsidRPr="00643EF4">
        <w:rPr>
          <w:rFonts w:ascii="Century" w:hAnsi="Century" w:cs="Miriam"/>
          <w:b/>
          <w:sz w:val="22"/>
          <w:szCs w:val="24"/>
          <w:rtl/>
        </w:rPr>
        <w:t xml:space="preserve"> </w:t>
      </w:r>
      <w:r w:rsidRPr="00643EF4">
        <w:rPr>
          <w:rFonts w:ascii="Century" w:hAnsi="Century" w:cs="Miriam" w:hint="eastAsia"/>
          <w:b/>
          <w:sz w:val="22"/>
          <w:szCs w:val="24"/>
          <w:rtl/>
        </w:rPr>
        <w:t>שימוש</w:t>
      </w:r>
      <w:r w:rsidRPr="00643EF4">
        <w:rPr>
          <w:rFonts w:ascii="Century" w:hAnsi="Century" w:cs="Miriam"/>
          <w:b/>
          <w:sz w:val="22"/>
          <w:szCs w:val="24"/>
          <w:rtl/>
        </w:rPr>
        <w:t xml:space="preserve"> </w:t>
      </w:r>
      <w:r w:rsidRPr="00643EF4">
        <w:rPr>
          <w:rFonts w:ascii="Century" w:hAnsi="Century" w:cs="Miriam" w:hint="eastAsia"/>
          <w:b/>
          <w:sz w:val="22"/>
          <w:szCs w:val="24"/>
          <w:rtl/>
        </w:rPr>
        <w:t>במקרקעין</w:t>
      </w:r>
      <w:r w:rsidRPr="00643EF4">
        <w:rPr>
          <w:rFonts w:ascii="Arial TUR" w:hAnsi="Arial TUR"/>
          <w:sz w:val="22"/>
          <w:rtl/>
        </w:rPr>
        <w:t xml:space="preserve"> </w:t>
      </w:r>
      <w:r w:rsidRPr="00643EF4">
        <w:rPr>
          <w:rFonts w:ascii="Arial TUR" w:hAnsi="Arial TUR" w:hint="cs"/>
          <w:sz w:val="22"/>
          <w:rtl/>
        </w:rPr>
        <w:t>(</w:t>
      </w:r>
      <w:r w:rsidRPr="00643EF4">
        <w:rPr>
          <w:rFonts w:ascii="Century" w:hAnsi="Century" w:cs="Miriam" w:hint="cs"/>
          <w:b/>
          <w:sz w:val="22"/>
          <w:szCs w:val="24"/>
          <w:rtl/>
        </w:rPr>
        <w:t>זנדברג</w:t>
      </w:r>
      <w:r w:rsidRPr="00643EF4">
        <w:rPr>
          <w:rFonts w:ascii="Arial TUR" w:hAnsi="Arial TUR" w:hint="cs"/>
          <w:sz w:val="22"/>
          <w:rtl/>
        </w:rPr>
        <w:t xml:space="preserve">, בעמ' 78 ובעמ' 81), ולעיתים מבלי שהייתה לכך הסמכה מפורשת בדין (ראו בג"ץ 14/55 </w:t>
      </w:r>
      <w:r w:rsidRPr="00643EF4">
        <w:rPr>
          <w:rFonts w:ascii="Century" w:hAnsi="Century" w:cs="Miriam" w:hint="cs"/>
          <w:b/>
          <w:sz w:val="22"/>
          <w:szCs w:val="24"/>
          <w:rtl/>
        </w:rPr>
        <w:t>אל-נדאף נ' שר האוצר</w:t>
      </w:r>
      <w:r w:rsidRPr="00643EF4">
        <w:rPr>
          <w:rFonts w:ascii="Century" w:hAnsi="Century" w:hint="cs"/>
          <w:sz w:val="22"/>
          <w:rtl/>
        </w:rPr>
        <w:t>, פ"ד יא(1) 785 (1957)</w:t>
      </w:r>
      <w:r w:rsidRPr="00643EF4">
        <w:rPr>
          <w:rFonts w:ascii="Arial TUR" w:hAnsi="Arial TUR" w:hint="cs"/>
          <w:sz w:val="22"/>
          <w:rtl/>
        </w:rPr>
        <w:t xml:space="preserve">). אופיו החריג של החר"ם קיבל ביטוי בפסיקתו של בית משפט זה תוך התייחסות לרקע ולנסיבות ההיסטוריות, </w:t>
      </w:r>
      <w:r w:rsidRPr="00643EF4">
        <w:rPr>
          <w:rFonts w:hint="cs"/>
          <w:rtl/>
        </w:rPr>
        <w:t xml:space="preserve">וכך ציינה בהקשר זה השופטת (כתוארה אז) </w:t>
      </w:r>
      <w:r w:rsidRPr="00643EF4">
        <w:rPr>
          <w:rFonts w:cs="Miriam" w:hint="cs"/>
          <w:b/>
          <w:szCs w:val="24"/>
          <w:rtl/>
        </w:rPr>
        <w:t>ד' ביניש</w:t>
      </w:r>
      <w:r w:rsidRPr="00643EF4">
        <w:rPr>
          <w:rFonts w:hint="cs"/>
          <w:rtl/>
        </w:rPr>
        <w:t xml:space="preserve">: </w:t>
      </w:r>
    </w:p>
    <w:p w14:paraId="0A34E785" w14:textId="77777777" w:rsidR="00190218" w:rsidRPr="00643EF4" w:rsidRDefault="00190218" w:rsidP="00190218">
      <w:pPr>
        <w:ind w:left="1642" w:right="1282"/>
        <w:jc w:val="both"/>
        <w:rPr>
          <w:rFonts w:ascii="Arial TUR" w:hAnsi="Arial TUR" w:cs="FrankRuehl"/>
          <w:spacing w:val="10"/>
          <w:sz w:val="22"/>
          <w:szCs w:val="28"/>
          <w:rtl/>
        </w:rPr>
      </w:pPr>
    </w:p>
    <w:p w14:paraId="2AA28CDE" w14:textId="77777777" w:rsidR="00190218" w:rsidRPr="00643EF4" w:rsidRDefault="00190218" w:rsidP="00190218">
      <w:pPr>
        <w:ind w:left="1642" w:right="1282"/>
        <w:jc w:val="both"/>
        <w:rPr>
          <w:rFonts w:ascii="Arial TUR" w:hAnsi="Arial TUR" w:cs="FrankRuehl"/>
          <w:spacing w:val="10"/>
          <w:sz w:val="22"/>
          <w:szCs w:val="28"/>
          <w:rtl/>
        </w:rPr>
      </w:pPr>
      <w:r w:rsidRPr="00643EF4">
        <w:rPr>
          <w:rFonts w:ascii="Arial TUR" w:hAnsi="Arial TUR" w:cs="FrankRuehl" w:hint="cs"/>
          <w:spacing w:val="10"/>
          <w:sz w:val="22"/>
          <w:szCs w:val="28"/>
          <w:rtl/>
        </w:rPr>
        <w:t>"</w:t>
      </w:r>
      <w:r w:rsidRPr="00643EF4">
        <w:rPr>
          <w:rFonts w:ascii="Arial TUR" w:hAnsi="Arial TUR" w:cs="Miriam" w:hint="cs"/>
          <w:b/>
          <w:sz w:val="22"/>
          <w:rtl/>
        </w:rPr>
        <w:t xml:space="preserve">חוק הרכישה הביא לפגיעה משמעותית ביותר בזכות הקניין של בעלי המקרקעין </w:t>
      </w:r>
      <w:r w:rsidRPr="00643EF4">
        <w:rPr>
          <w:rFonts w:ascii="Arial TUR" w:hAnsi="Arial TUR" w:cs="FrankRuehl" w:hint="cs"/>
          <w:spacing w:val="10"/>
          <w:sz w:val="22"/>
          <w:szCs w:val="28"/>
          <w:rtl/>
        </w:rPr>
        <w:t xml:space="preserve">שקרקעותיהם הוקנו לרשות הפיתוח מכוח החוק הנ"ל. פגיעתו של החוק הייתה ללא ספק קשה עוד יותר מהפגיעה ממנה נפגע, בדרך כלל, בעל מקרקעין שמקרקעיו מופקעים על-פי פקודת הקרקעות. זאת, </w:t>
      </w:r>
      <w:r w:rsidRPr="00643EF4">
        <w:rPr>
          <w:rFonts w:ascii="Arial TUR" w:hAnsi="Arial TUR" w:cs="Miriam" w:hint="cs"/>
          <w:b/>
          <w:sz w:val="22"/>
          <w:rtl/>
        </w:rPr>
        <w:t>משום שחוק הרכישה אִפשר את הכשרתה הרטרואקטיבית של תפיסת חזקה במקרקעין על ידי המדינה, שככל הנראה נעשתה (לפחות בחלקה) בהעדר הסמכה בדין</w:t>
      </w:r>
      <w:r w:rsidRPr="00643EF4">
        <w:rPr>
          <w:rFonts w:ascii="Arial TUR" w:hAnsi="Arial TUR" w:cs="FrankRuehl" w:hint="cs"/>
          <w:spacing w:val="10"/>
          <w:sz w:val="28"/>
          <w:szCs w:val="28"/>
          <w:rtl/>
        </w:rPr>
        <w:t xml:space="preserve"> [...] את אופיין החמור של הוראות חוק הרכישה ואת אי השימוש בהסדרי הפקעת המקרקעין הקבועים בפקודת הקרקעות ניתן להבין רק באספקלריה של הנסיבות ההיסטוריות הייחודיות של ראשית ימיה של המדינה; על רקע צרכי התקופה ובעת שקרקעות ננטשו על ידי בעליהן עקב אירועי </w:t>
      </w:r>
      <w:r w:rsidRPr="00643EF4">
        <w:rPr>
          <w:rFonts w:ascii="Century" w:hAnsi="Century" w:cs="FrankRuehl" w:hint="cs"/>
          <w:spacing w:val="10"/>
          <w:sz w:val="22"/>
          <w:szCs w:val="28"/>
          <w:rtl/>
        </w:rPr>
        <w:t>המלחמה.</w:t>
      </w:r>
      <w:r w:rsidRPr="00643EF4">
        <w:rPr>
          <w:rFonts w:ascii="Arial TUR" w:hAnsi="Arial TUR" w:cs="Miriam" w:hint="cs"/>
          <w:b/>
          <w:sz w:val="22"/>
          <w:rtl/>
        </w:rPr>
        <w:t xml:space="preserve"> </w:t>
      </w:r>
      <w:r w:rsidRPr="00643EF4">
        <w:rPr>
          <w:rFonts w:ascii="Century" w:hAnsi="Century" w:cs="FrankRuehl" w:hint="cs"/>
          <w:spacing w:val="10"/>
          <w:sz w:val="22"/>
          <w:szCs w:val="28"/>
          <w:rtl/>
        </w:rPr>
        <w:t xml:space="preserve">נסיבות היסטוריות אלה הביאו לחקיקתו של חוק הרכישה שהוראותיו פוגעות פגיעה ניכרת בזכות הקניין, </w:t>
      </w:r>
      <w:r w:rsidRPr="00643EF4">
        <w:rPr>
          <w:rFonts w:ascii="Arial TUR" w:hAnsi="Arial TUR" w:cs="Miriam" w:hint="cs"/>
          <w:b/>
          <w:sz w:val="22"/>
          <w:rtl/>
        </w:rPr>
        <w:t>ואין ספק כי כיום חקיקה מעין זו לא הייתה עומדת במבחן החוקתיות</w:t>
      </w:r>
      <w:r w:rsidRPr="00643EF4">
        <w:rPr>
          <w:rFonts w:ascii="Arial TUR" w:hAnsi="Arial TUR" w:cs="FrankRuehl" w:hint="cs"/>
          <w:spacing w:val="10"/>
          <w:sz w:val="28"/>
          <w:szCs w:val="28"/>
          <w:rtl/>
        </w:rPr>
        <w:t xml:space="preserve">" (ההדגשות הוספו; </w:t>
      </w:r>
      <w:r w:rsidRPr="00643EF4">
        <w:rPr>
          <w:rFonts w:ascii="Arial TUR" w:hAnsi="Arial TUR" w:cs="FrankRuehl" w:hint="cs"/>
          <w:spacing w:val="10"/>
          <w:sz w:val="22"/>
          <w:szCs w:val="28"/>
          <w:rtl/>
        </w:rPr>
        <w:t xml:space="preserve">ע"א 3535/04 </w:t>
      </w:r>
      <w:r w:rsidRPr="00643EF4">
        <w:rPr>
          <w:rFonts w:ascii="Century" w:hAnsi="Century" w:cs="Miriam" w:hint="cs"/>
          <w:b/>
          <w:sz w:val="22"/>
          <w:rtl/>
        </w:rPr>
        <w:t xml:space="preserve">דינר נ' מדינת ישראל </w:t>
      </w:r>
      <w:r w:rsidRPr="00643EF4">
        <w:rPr>
          <w:rFonts w:ascii="Century" w:hAnsi="Century" w:cs="Miriam"/>
          <w:b/>
          <w:sz w:val="22"/>
          <w:rtl/>
        </w:rPr>
        <w:t>–</w:t>
      </w:r>
      <w:r w:rsidRPr="00643EF4">
        <w:rPr>
          <w:rFonts w:ascii="Century" w:hAnsi="Century" w:cs="Miriam" w:hint="cs"/>
          <w:b/>
          <w:sz w:val="22"/>
          <w:rtl/>
        </w:rPr>
        <w:t xml:space="preserve"> שר האוצר</w:t>
      </w:r>
      <w:r w:rsidRPr="00643EF4">
        <w:rPr>
          <w:rFonts w:ascii="Century" w:hAnsi="Century" w:cs="FrankRuehl" w:hint="cs"/>
          <w:spacing w:val="10"/>
          <w:sz w:val="22"/>
          <w:szCs w:val="28"/>
          <w:rtl/>
        </w:rPr>
        <w:t>,</w:t>
      </w:r>
      <w:r w:rsidRPr="00643EF4">
        <w:rPr>
          <w:rFonts w:ascii="Arial TUR" w:hAnsi="Arial TUR" w:cs="FrankRuehl" w:hint="cs"/>
          <w:spacing w:val="10"/>
          <w:sz w:val="22"/>
          <w:szCs w:val="28"/>
          <w:rtl/>
        </w:rPr>
        <w:t xml:space="preserve"> פסקה 7 (27.4.2006); ראו עוד ע"א 6534/10 </w:t>
      </w:r>
      <w:r w:rsidRPr="00643EF4">
        <w:rPr>
          <w:rFonts w:ascii="Century" w:hAnsi="Century" w:cs="Miriam" w:hint="cs"/>
          <w:b/>
          <w:sz w:val="22"/>
          <w:rtl/>
        </w:rPr>
        <w:t>ששון נ' רשות הפיתוח</w:t>
      </w:r>
      <w:r w:rsidRPr="00643EF4">
        <w:rPr>
          <w:rFonts w:ascii="Century" w:hAnsi="Century" w:cs="FrankRuehl" w:hint="cs"/>
          <w:spacing w:val="10"/>
          <w:sz w:val="22"/>
          <w:szCs w:val="28"/>
          <w:rtl/>
        </w:rPr>
        <w:t>,</w:t>
      </w:r>
      <w:r w:rsidRPr="00643EF4">
        <w:rPr>
          <w:rFonts w:ascii="Arial TUR" w:hAnsi="Arial TUR" w:cs="FrankRuehl" w:hint="cs"/>
          <w:spacing w:val="10"/>
          <w:sz w:val="22"/>
          <w:szCs w:val="28"/>
          <w:rtl/>
        </w:rPr>
        <w:t xml:space="preserve"> פסקה 6 (18.4.2012)). </w:t>
      </w:r>
    </w:p>
    <w:p w14:paraId="3902F94A"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42226127" w14:textId="77777777" w:rsidR="00190218" w:rsidRPr="00643EF4" w:rsidRDefault="00190218" w:rsidP="00190218">
      <w:pPr>
        <w:tabs>
          <w:tab w:val="left" w:pos="800"/>
        </w:tabs>
        <w:spacing w:line="360" w:lineRule="auto"/>
        <w:jc w:val="both"/>
        <w:rPr>
          <w:rFonts w:ascii="FrankRuehl" w:hAnsi="FrankRuehl" w:cs="FrankRuehl"/>
          <w:color w:val="000000"/>
          <w:spacing w:val="10"/>
          <w:sz w:val="28"/>
          <w:szCs w:val="28"/>
        </w:rPr>
      </w:pPr>
      <w:r w:rsidRPr="00643EF4">
        <w:rPr>
          <w:rFonts w:ascii="Arial TUR" w:hAnsi="Arial TUR" w:cs="FrankRuehl"/>
          <w:spacing w:val="10"/>
          <w:sz w:val="22"/>
          <w:szCs w:val="28"/>
          <w:rtl/>
        </w:rPr>
        <w:tab/>
      </w:r>
      <w:r w:rsidRPr="00643EF4">
        <w:rPr>
          <w:rFonts w:ascii="Arial TUR" w:hAnsi="Arial TUR" w:cs="FrankRuehl" w:hint="cs"/>
          <w:spacing w:val="10"/>
          <w:sz w:val="28"/>
          <w:szCs w:val="28"/>
          <w:rtl/>
        </w:rPr>
        <w:t>על חריגותו של החר"ם בנוף הדינים הנוגעים להפקעת מקרקעין, עמד בית משפט זה בהזדמנויות נוספות (</w:t>
      </w:r>
      <w:r w:rsidRPr="00643EF4">
        <w:rPr>
          <w:rFonts w:ascii="FrankRuehl" w:hAnsi="FrankRuehl" w:cs="FrankRuehl" w:hint="cs"/>
          <w:color w:val="000000"/>
          <w:spacing w:val="10"/>
          <w:sz w:val="28"/>
          <w:szCs w:val="28"/>
          <w:rtl/>
        </w:rPr>
        <w:t>ע"א 4067/07</w:t>
      </w:r>
      <w:r w:rsidRPr="00643EF4">
        <w:rPr>
          <w:rFonts w:ascii="Arial TUR" w:hAnsi="Arial TUR" w:cs="FrankRuehl" w:hint="cs"/>
          <w:spacing w:val="10"/>
          <w:sz w:val="22"/>
          <w:szCs w:val="28"/>
          <w:rtl/>
        </w:rPr>
        <w:t xml:space="preserve"> </w:t>
      </w:r>
      <w:r w:rsidRPr="00643EF4">
        <w:rPr>
          <w:rFonts w:ascii="Century" w:hAnsi="Century" w:cs="Miriam" w:hint="cs"/>
          <w:b/>
          <w:sz w:val="22"/>
          <w:rtl/>
        </w:rPr>
        <w:t>ג'בארין נ' מדינת ישראל</w:t>
      </w:r>
      <w:r w:rsidRPr="00643EF4">
        <w:rPr>
          <w:rFonts w:ascii="Century" w:hAnsi="Century" w:cs="FrankRuehl" w:hint="cs"/>
          <w:spacing w:val="10"/>
          <w:sz w:val="22"/>
          <w:szCs w:val="28"/>
          <w:rtl/>
        </w:rPr>
        <w:t>,</w:t>
      </w:r>
      <w:r w:rsidRPr="00643EF4">
        <w:rPr>
          <w:rFonts w:ascii="Arial TUR" w:hAnsi="Arial TUR" w:cs="FrankRuehl" w:hint="cs"/>
          <w:spacing w:val="10"/>
          <w:sz w:val="22"/>
          <w:szCs w:val="28"/>
          <w:rtl/>
        </w:rPr>
        <w:t xml:space="preserve"> פסקה 29 (3.1.2010); </w:t>
      </w:r>
      <w:r w:rsidRPr="00643EF4">
        <w:rPr>
          <w:rFonts w:ascii="FrankRuehl" w:hAnsi="FrankRuehl" w:cs="FrankRuehl" w:hint="cs"/>
          <w:color w:val="000000"/>
          <w:spacing w:val="10"/>
          <w:sz w:val="28"/>
          <w:szCs w:val="28"/>
          <w:rtl/>
        </w:rPr>
        <w:t xml:space="preserve">ע"א 6288/98 </w:t>
      </w:r>
      <w:r w:rsidRPr="00643EF4">
        <w:rPr>
          <w:rFonts w:ascii="Century" w:hAnsi="Century" w:cs="Miriam" w:hint="cs"/>
          <w:b/>
          <w:sz w:val="22"/>
          <w:rtl/>
        </w:rPr>
        <w:t>עזבון המנוחה פאדואה כליל נ' רשות הפיתוח</w:t>
      </w:r>
      <w:r w:rsidRPr="00643EF4">
        <w:rPr>
          <w:rFonts w:ascii="Century" w:hAnsi="Century" w:cs="FrankRuehl" w:hint="cs"/>
          <w:spacing w:val="10"/>
          <w:sz w:val="22"/>
          <w:szCs w:val="28"/>
          <w:rtl/>
        </w:rPr>
        <w:t>,</w:t>
      </w:r>
      <w:r w:rsidRPr="00643EF4">
        <w:rPr>
          <w:rFonts w:ascii="FrankRuehl" w:hAnsi="FrankRuehl" w:cs="FrankRuehl" w:hint="cs"/>
          <w:color w:val="000000"/>
          <w:spacing w:val="10"/>
          <w:sz w:val="28"/>
          <w:szCs w:val="28"/>
          <w:rtl/>
        </w:rPr>
        <w:t xml:space="preserve"> פסקה 7 (11.8.2011); בג"ץ 9804/09 </w:t>
      </w:r>
      <w:r w:rsidRPr="00643EF4">
        <w:rPr>
          <w:rFonts w:ascii="Century" w:hAnsi="Century" w:cs="Miriam" w:hint="cs"/>
          <w:b/>
          <w:sz w:val="22"/>
          <w:rtl/>
        </w:rPr>
        <w:t>שוואהנה נ' מדינת ישראל רשות הפיתוח</w:t>
      </w:r>
      <w:r w:rsidRPr="00643EF4">
        <w:rPr>
          <w:rFonts w:ascii="Century" w:hAnsi="Century" w:cs="FrankRuehl" w:hint="cs"/>
          <w:spacing w:val="10"/>
          <w:sz w:val="22"/>
          <w:szCs w:val="28"/>
          <w:rtl/>
        </w:rPr>
        <w:t>,</w:t>
      </w:r>
      <w:r w:rsidRPr="00643EF4">
        <w:rPr>
          <w:rFonts w:ascii="FrankRuehl" w:hAnsi="FrankRuehl" w:cs="FrankRuehl" w:hint="cs"/>
          <w:color w:val="000000"/>
          <w:spacing w:val="10"/>
          <w:sz w:val="28"/>
          <w:szCs w:val="28"/>
          <w:rtl/>
        </w:rPr>
        <w:t xml:space="preserve"> פסקה 14 (29.5.2014). בקשה לקיום דיון נוסף נדחתה </w:t>
      </w:r>
      <w:r w:rsidRPr="00643EF4">
        <w:rPr>
          <w:rFonts w:ascii="FrankRuehl" w:hAnsi="FrankRuehl" w:cs="FrankRuehl"/>
          <w:color w:val="000000"/>
          <w:spacing w:val="10"/>
          <w:sz w:val="28"/>
          <w:szCs w:val="28"/>
          <w:rtl/>
        </w:rPr>
        <w:t>–</w:t>
      </w:r>
      <w:r w:rsidRPr="00643EF4">
        <w:rPr>
          <w:rFonts w:ascii="FrankRuehl" w:hAnsi="FrankRuehl" w:cs="FrankRuehl" w:hint="cs"/>
          <w:color w:val="000000"/>
          <w:spacing w:val="10"/>
          <w:sz w:val="28"/>
          <w:szCs w:val="28"/>
          <w:rtl/>
        </w:rPr>
        <w:t xml:space="preserve"> דנג"ץ 4457/14 ‏</w:t>
      </w:r>
      <w:r w:rsidRPr="00643EF4">
        <w:rPr>
          <w:rFonts w:ascii="Century" w:hAnsi="Century" w:cs="Miriam" w:hint="cs"/>
          <w:b/>
          <w:sz w:val="22"/>
          <w:rtl/>
        </w:rPr>
        <w:t xml:space="preserve"> שוואהנה נ' מדינת ישראל </w:t>
      </w:r>
      <w:r w:rsidRPr="00643EF4">
        <w:rPr>
          <w:rFonts w:ascii="Century" w:hAnsi="Century" w:cs="Miriam"/>
          <w:b/>
          <w:sz w:val="22"/>
          <w:rtl/>
        </w:rPr>
        <w:t>–</w:t>
      </w:r>
      <w:r w:rsidRPr="00643EF4">
        <w:rPr>
          <w:rFonts w:ascii="Century" w:hAnsi="Century" w:cs="Miriam" w:hint="cs"/>
          <w:b/>
          <w:sz w:val="22"/>
          <w:rtl/>
        </w:rPr>
        <w:t xml:space="preserve"> רשות הפיתוח</w:t>
      </w:r>
      <w:r w:rsidRPr="00643EF4">
        <w:rPr>
          <w:rFonts w:ascii="FrankRuehl" w:hAnsi="FrankRuehl" w:cs="FrankRuehl" w:hint="cs"/>
          <w:color w:val="000000"/>
          <w:spacing w:val="10"/>
          <w:sz w:val="28"/>
          <w:szCs w:val="28"/>
          <w:rtl/>
        </w:rPr>
        <w:t xml:space="preserve">‏ (4.8.2014); ראו עוד </w:t>
      </w:r>
      <w:r w:rsidRPr="00643EF4">
        <w:rPr>
          <w:rFonts w:ascii="Century" w:hAnsi="Century" w:cs="Miriam" w:hint="cs"/>
          <w:b/>
          <w:sz w:val="22"/>
          <w:rtl/>
        </w:rPr>
        <w:t>קמר</w:t>
      </w:r>
      <w:r w:rsidRPr="00643EF4">
        <w:rPr>
          <w:rFonts w:ascii="Century" w:hAnsi="Century" w:cs="FrankRuehl" w:hint="cs"/>
          <w:spacing w:val="10"/>
          <w:sz w:val="22"/>
          <w:szCs w:val="28"/>
          <w:rtl/>
        </w:rPr>
        <w:t>, בעמ' 159-158</w:t>
      </w:r>
      <w:r w:rsidRPr="00643EF4">
        <w:rPr>
          <w:rFonts w:ascii="FrankRuehl" w:hAnsi="FrankRuehl" w:cs="FrankRuehl" w:hint="cs"/>
          <w:color w:val="000000"/>
          <w:spacing w:val="10"/>
          <w:sz w:val="28"/>
          <w:szCs w:val="28"/>
          <w:rtl/>
        </w:rPr>
        <w:t xml:space="preserve">). </w:t>
      </w:r>
    </w:p>
    <w:p w14:paraId="3BF5E3C5"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632FC4CC" w14:textId="46D7E357" w:rsidR="00190218" w:rsidRPr="00643EF4" w:rsidRDefault="00190218" w:rsidP="004C5442">
      <w:pPr>
        <w:pStyle w:val="Ruller4"/>
      </w:pPr>
      <w:r w:rsidRPr="00643EF4">
        <w:rPr>
          <w:rFonts w:hint="cs"/>
          <w:rtl/>
        </w:rPr>
        <w:t xml:space="preserve">לאורך השנים נדרש בית </w:t>
      </w:r>
      <w:r w:rsidR="004C5442" w:rsidRPr="00643EF4">
        <w:rPr>
          <w:rFonts w:hint="cs"/>
          <w:rtl/>
        </w:rPr>
        <w:t>ה</w:t>
      </w:r>
      <w:r w:rsidRPr="00643EF4">
        <w:rPr>
          <w:rFonts w:hint="cs"/>
          <w:rtl/>
        </w:rPr>
        <w:t xml:space="preserve">משפט לשאלה אם הקמת שכונת מגורים יכולה להוות צורך ציבורי המצדיק הפקעת מקרקעין מכוח פקודת הקרקעות. בית המשפט עמד על השיקולים השונים הצריכים לעניין, </w:t>
      </w:r>
      <w:r w:rsidRPr="00643EF4">
        <w:rPr>
          <w:rFonts w:ascii="Century" w:hAnsi="Century" w:hint="cs"/>
          <w:sz w:val="22"/>
          <w:rtl/>
        </w:rPr>
        <w:t>והטעים כי לשאלה זו אין תשובה חד משמעית והיא תיגזר מהקשר הדברים (</w:t>
      </w:r>
      <w:r w:rsidRPr="00643EF4">
        <w:rPr>
          <w:rFonts w:hint="cs"/>
          <w:rtl/>
        </w:rPr>
        <w:t xml:space="preserve">עניין </w:t>
      </w:r>
      <w:r w:rsidRPr="00643EF4">
        <w:rPr>
          <w:rFonts w:ascii="Century" w:hAnsi="Century" w:cs="Miriam" w:hint="cs"/>
          <w:b/>
          <w:sz w:val="22"/>
          <w:szCs w:val="24"/>
          <w:rtl/>
        </w:rPr>
        <w:t xml:space="preserve">קרסיק, </w:t>
      </w:r>
      <w:r w:rsidRPr="00643EF4">
        <w:rPr>
          <w:rFonts w:ascii="Century" w:hAnsi="Century" w:hint="cs"/>
          <w:sz w:val="22"/>
          <w:rtl/>
        </w:rPr>
        <w:t>בעמ' 682-679</w:t>
      </w:r>
      <w:r w:rsidRPr="00643EF4">
        <w:rPr>
          <w:rFonts w:ascii="Century" w:hAnsi="Century" w:cs="Miriam" w:hint="cs"/>
          <w:b/>
          <w:sz w:val="22"/>
          <w:szCs w:val="24"/>
          <w:rtl/>
        </w:rPr>
        <w:t>)</w:t>
      </w:r>
      <w:r w:rsidRPr="00643EF4">
        <w:rPr>
          <w:rFonts w:ascii="Century" w:hAnsi="Century" w:hint="cs"/>
          <w:sz w:val="22"/>
          <w:rtl/>
        </w:rPr>
        <w:t xml:space="preserve">. </w:t>
      </w:r>
      <w:r w:rsidRPr="00643EF4">
        <w:rPr>
          <w:rFonts w:hint="cs"/>
          <w:rtl/>
        </w:rPr>
        <w:t>בית המשפט עמד על שורה של שיקולים היכולים להצדיק הפקעה בנסיבות מסוימות, ובהם, בין היתר, שיקולים של צדק חלוקתי ואחריות קהילתית</w:t>
      </w:r>
      <w:r w:rsidRPr="00643EF4">
        <w:t xml:space="preserve"> </w:t>
      </w:r>
      <w:r w:rsidRPr="00643EF4">
        <w:rPr>
          <w:rFonts w:hint="cs"/>
          <w:rtl/>
        </w:rPr>
        <w:t>(</w:t>
      </w:r>
      <w:r w:rsidRPr="00643EF4">
        <w:rPr>
          <w:rFonts w:ascii="Century" w:hAnsi="Century" w:hint="cs"/>
          <w:sz w:val="22"/>
          <w:rtl/>
        </w:rPr>
        <w:t xml:space="preserve">להרחבה ראו: ע"א 5546/97 </w:t>
      </w:r>
      <w:r w:rsidRPr="00643EF4">
        <w:rPr>
          <w:rFonts w:ascii="Century" w:hAnsi="Century" w:cs="Miriam" w:hint="cs"/>
          <w:b/>
          <w:sz w:val="22"/>
          <w:szCs w:val="24"/>
          <w:rtl/>
        </w:rPr>
        <w:t>הוועדה המקומית לתכנון ולבנייה קריית-אתא נ' הולצמן</w:t>
      </w:r>
      <w:r w:rsidRPr="00643EF4">
        <w:rPr>
          <w:rFonts w:ascii="Century" w:hAnsi="Century" w:hint="cs"/>
          <w:sz w:val="22"/>
          <w:rtl/>
        </w:rPr>
        <w:t xml:space="preserve">, פ"ד נה(4) 629, 651-650 (2001); </w:t>
      </w:r>
      <w:r w:rsidRPr="00643EF4">
        <w:rPr>
          <w:rFonts w:ascii="Century" w:hAnsi="Century" w:cs="Miriam" w:hint="cs"/>
          <w:b/>
          <w:sz w:val="22"/>
          <w:szCs w:val="24"/>
          <w:rtl/>
        </w:rPr>
        <w:t>דנ"א הורוויץ</w:t>
      </w:r>
      <w:r w:rsidRPr="00643EF4">
        <w:rPr>
          <w:rFonts w:ascii="Century" w:hAnsi="Century" w:hint="cs"/>
          <w:sz w:val="22"/>
          <w:rtl/>
        </w:rPr>
        <w:t xml:space="preserve">, בעמ' </w:t>
      </w:r>
      <w:r w:rsidRPr="00643EF4">
        <w:rPr>
          <w:rtl/>
        </w:rPr>
        <w:t>303-299</w:t>
      </w:r>
      <w:r w:rsidRPr="00643EF4">
        <w:rPr>
          <w:rFonts w:ascii="Century" w:hAnsi="Century" w:hint="cs"/>
          <w:sz w:val="22"/>
          <w:rtl/>
        </w:rPr>
        <w:t xml:space="preserve">; </w:t>
      </w:r>
      <w:r w:rsidRPr="00643EF4">
        <w:rPr>
          <w:rFonts w:hint="cs"/>
          <w:rtl/>
        </w:rPr>
        <w:t xml:space="preserve">עע"ם 4955/07 </w:t>
      </w:r>
      <w:r w:rsidRPr="00643EF4">
        <w:rPr>
          <w:rFonts w:cs="Miriam" w:hint="cs"/>
          <w:b/>
          <w:szCs w:val="24"/>
          <w:rtl/>
        </w:rPr>
        <w:t xml:space="preserve">הוועדה המקומית לתכנון ולבניה רעננה נ' קרן תורה </w:t>
      </w:r>
      <w:r w:rsidRPr="00643EF4">
        <w:rPr>
          <w:rFonts w:cs="Miriam" w:hint="cs"/>
          <w:b/>
          <w:szCs w:val="24"/>
          <w:rtl/>
        </w:rPr>
        <w:lastRenderedPageBreak/>
        <w:t>ועבודה</w:t>
      </w:r>
      <w:r w:rsidRPr="00643EF4">
        <w:rPr>
          <w:rFonts w:hint="cs"/>
          <w:rtl/>
        </w:rPr>
        <w:t xml:space="preserve">, פסקאות 44-43 לפסק הדין של השופטת </w:t>
      </w:r>
      <w:r w:rsidRPr="00643EF4">
        <w:rPr>
          <w:rFonts w:cs="Miriam" w:hint="cs"/>
          <w:b/>
          <w:szCs w:val="24"/>
          <w:rtl/>
        </w:rPr>
        <w:t>ע' ארבל</w:t>
      </w:r>
      <w:r w:rsidRPr="00643EF4">
        <w:rPr>
          <w:rFonts w:hint="cs"/>
          <w:rtl/>
        </w:rPr>
        <w:t xml:space="preserve"> (26.10.2010)</w:t>
      </w:r>
      <w:r w:rsidRPr="00643EF4">
        <w:rPr>
          <w:rFonts w:ascii="Century" w:hAnsi="Century" w:hint="cs"/>
          <w:sz w:val="22"/>
          <w:rtl/>
        </w:rPr>
        <w:t xml:space="preserve">; עניין </w:t>
      </w:r>
      <w:r w:rsidRPr="00643EF4">
        <w:rPr>
          <w:rFonts w:ascii="Century" w:hAnsi="Century" w:cs="Miriam" w:hint="cs"/>
          <w:b/>
          <w:sz w:val="22"/>
          <w:szCs w:val="24"/>
          <w:rtl/>
        </w:rPr>
        <w:t>רוטמן</w:t>
      </w:r>
      <w:r w:rsidRPr="00643EF4">
        <w:rPr>
          <w:rFonts w:ascii="Century" w:hAnsi="Century" w:hint="cs"/>
          <w:sz w:val="22"/>
          <w:rtl/>
        </w:rPr>
        <w:t xml:space="preserve">, פסקאות 80-78 לפסק הדין של השופט </w:t>
      </w:r>
      <w:r w:rsidRPr="00643EF4">
        <w:rPr>
          <w:rFonts w:ascii="Century" w:hAnsi="Century" w:cs="Miriam" w:hint="cs"/>
          <w:b/>
          <w:sz w:val="22"/>
          <w:szCs w:val="24"/>
          <w:rtl/>
        </w:rPr>
        <w:t>ע' פוגלמן</w:t>
      </w:r>
      <w:r w:rsidRPr="00643EF4">
        <w:rPr>
          <w:rFonts w:ascii="Century" w:hAnsi="Century" w:hint="cs"/>
          <w:sz w:val="22"/>
          <w:rtl/>
        </w:rPr>
        <w:t xml:space="preserve">; ע"א 6407/14 </w:t>
      </w:r>
      <w:r w:rsidRPr="00643EF4">
        <w:rPr>
          <w:rFonts w:ascii="Century" w:hAnsi="Century" w:cs="Miriam" w:hint="cs"/>
          <w:b/>
          <w:sz w:val="22"/>
          <w:szCs w:val="24"/>
          <w:rtl/>
        </w:rPr>
        <w:t>הוועדה המקומית לתכנון ובניה כרמיאל נ' מסרי</w:t>
      </w:r>
      <w:r w:rsidRPr="00643EF4">
        <w:rPr>
          <w:rFonts w:ascii="Century" w:hAnsi="Century" w:hint="cs"/>
          <w:sz w:val="22"/>
          <w:rtl/>
        </w:rPr>
        <w:t xml:space="preserve">, פסקאות 93-88 לפסק הדין של השופט </w:t>
      </w:r>
      <w:r w:rsidRPr="00643EF4">
        <w:rPr>
          <w:rFonts w:ascii="Century" w:hAnsi="Century" w:cs="Miriam" w:hint="cs"/>
          <w:b/>
          <w:sz w:val="22"/>
          <w:szCs w:val="24"/>
          <w:rtl/>
        </w:rPr>
        <w:t>ע' פוגלמן</w:t>
      </w:r>
      <w:r w:rsidRPr="00643EF4">
        <w:rPr>
          <w:rFonts w:ascii="Century" w:hAnsi="Century" w:hint="cs"/>
          <w:sz w:val="22"/>
          <w:rtl/>
        </w:rPr>
        <w:t xml:space="preserve"> (24.5.2018); </w:t>
      </w:r>
      <w:r w:rsidRPr="00643EF4">
        <w:rPr>
          <w:rFonts w:hint="cs"/>
          <w:rtl/>
        </w:rPr>
        <w:t xml:space="preserve">חיים זנדברג "הפקעות, אחריות חברתית והגנת הקניין הפרטי בעיני בית המשפט העליון אגב דין וחשבון הועדה הבינמשרדית לשינוי פקודת הקרקעות (רכישה לצרכי ציבורי), 1943" </w:t>
      </w:r>
      <w:r w:rsidRPr="00643EF4">
        <w:rPr>
          <w:rFonts w:cs="Miriam" w:hint="cs"/>
          <w:b/>
          <w:szCs w:val="24"/>
          <w:rtl/>
        </w:rPr>
        <w:t xml:space="preserve">המשפט </w:t>
      </w:r>
      <w:r w:rsidRPr="00643EF4">
        <w:rPr>
          <w:rFonts w:hint="cs"/>
          <w:rtl/>
        </w:rPr>
        <w:t xml:space="preserve">י"א 585 (2007); </w:t>
      </w:r>
      <w:r w:rsidRPr="00643EF4">
        <w:rPr>
          <w:rFonts w:hint="cs"/>
          <w:sz w:val="28"/>
          <w:rtl/>
        </w:rPr>
        <w:t xml:space="preserve">חנוך דגן "שיקולים חלוקתיים בדיני נטילה שלטונית של מקרקעין", </w:t>
      </w:r>
      <w:r w:rsidRPr="00643EF4">
        <w:rPr>
          <w:rFonts w:ascii="Century" w:hAnsi="Century" w:cs="Miriam" w:hint="cs"/>
          <w:b/>
          <w:sz w:val="22"/>
          <w:szCs w:val="24"/>
          <w:rtl/>
        </w:rPr>
        <w:t xml:space="preserve">עיוני משפט </w:t>
      </w:r>
      <w:r w:rsidRPr="00643EF4">
        <w:rPr>
          <w:rFonts w:ascii="Century" w:hAnsi="Century" w:hint="cs"/>
          <w:sz w:val="22"/>
          <w:rtl/>
        </w:rPr>
        <w:t xml:space="preserve">כא(3) 491, 502 (1998) </w:t>
      </w:r>
      <w:r w:rsidRPr="00643EF4">
        <w:rPr>
          <w:rFonts w:ascii="Century" w:hAnsi="Century"/>
          <w:sz w:val="22"/>
          <w:rtl/>
        </w:rPr>
        <w:t>(</w:t>
      </w:r>
      <w:r w:rsidRPr="00643EF4">
        <w:rPr>
          <w:rFonts w:ascii="Century" w:hAnsi="Century" w:hint="eastAsia"/>
          <w:sz w:val="22"/>
          <w:rtl/>
        </w:rPr>
        <w:t>להלן</w:t>
      </w:r>
      <w:r w:rsidRPr="00643EF4">
        <w:rPr>
          <w:rFonts w:ascii="Century" w:hAnsi="Century"/>
          <w:sz w:val="22"/>
          <w:rtl/>
        </w:rPr>
        <w:t xml:space="preserve">: </w:t>
      </w:r>
      <w:r w:rsidRPr="00643EF4">
        <w:rPr>
          <w:rFonts w:ascii="Century" w:hAnsi="Century" w:cs="Miriam" w:hint="eastAsia"/>
          <w:b/>
          <w:sz w:val="22"/>
          <w:szCs w:val="24"/>
          <w:rtl/>
        </w:rPr>
        <w:t>שיקולים</w:t>
      </w:r>
      <w:r w:rsidRPr="00643EF4">
        <w:rPr>
          <w:rFonts w:ascii="Century" w:hAnsi="Century" w:cs="Miriam"/>
          <w:b/>
          <w:sz w:val="22"/>
          <w:szCs w:val="24"/>
          <w:rtl/>
        </w:rPr>
        <w:t xml:space="preserve"> </w:t>
      </w:r>
      <w:r w:rsidRPr="00643EF4">
        <w:rPr>
          <w:rFonts w:ascii="Century" w:hAnsi="Century" w:cs="Miriam" w:hint="eastAsia"/>
          <w:b/>
          <w:sz w:val="22"/>
          <w:szCs w:val="24"/>
          <w:rtl/>
        </w:rPr>
        <w:t>חלוקתיים</w:t>
      </w:r>
      <w:r w:rsidRPr="00643EF4">
        <w:rPr>
          <w:rFonts w:ascii="Century" w:hAnsi="Century"/>
          <w:sz w:val="22"/>
          <w:rtl/>
        </w:rPr>
        <w:t>)</w:t>
      </w:r>
      <w:r w:rsidRPr="00643EF4">
        <w:rPr>
          <w:rFonts w:hint="cs"/>
          <w:rtl/>
        </w:rPr>
        <w:t>) וכן התגברות על בעיות תיאום (</w:t>
      </w:r>
      <w:r w:rsidRPr="00643EF4">
        <w:rPr>
          <w:rFonts w:ascii="Century" w:hAnsi="Century" w:hint="cs"/>
          <w:sz w:val="22"/>
          <w:rtl/>
        </w:rPr>
        <w:t xml:space="preserve">בג"ץ </w:t>
      </w:r>
      <w:r w:rsidRPr="00643EF4">
        <w:rPr>
          <w:rFonts w:ascii="Century" w:hAnsi="Century"/>
          <w:sz w:val="22"/>
          <w:rtl/>
        </w:rPr>
        <w:t>3956/92</w:t>
      </w:r>
      <w:r w:rsidRPr="00643EF4">
        <w:rPr>
          <w:rFonts w:ascii="Century" w:hAnsi="Century" w:hint="cs"/>
          <w:sz w:val="22"/>
          <w:rtl/>
        </w:rPr>
        <w:t xml:space="preserve"> </w:t>
      </w:r>
      <w:r w:rsidRPr="00643EF4">
        <w:rPr>
          <w:rFonts w:ascii="Century" w:hAnsi="Century" w:cs="Miriam" w:hint="cs"/>
          <w:b/>
          <w:sz w:val="22"/>
          <w:szCs w:val="24"/>
          <w:rtl/>
        </w:rPr>
        <w:t xml:space="preserve">מקור הנפקות וזכויות בע"מ נ' ראש הממשלה </w:t>
      </w:r>
      <w:r w:rsidRPr="00643EF4">
        <w:rPr>
          <w:rFonts w:ascii="Century" w:hAnsi="Century" w:hint="cs"/>
          <w:sz w:val="22"/>
          <w:rtl/>
        </w:rPr>
        <w:t xml:space="preserve">(22.12.1994); לדיון ראו </w:t>
      </w:r>
      <w:r w:rsidRPr="00643EF4">
        <w:rPr>
          <w:rFonts w:ascii="Century" w:hAnsi="Century" w:cs="Miriam" w:hint="cs"/>
          <w:b/>
          <w:sz w:val="22"/>
          <w:szCs w:val="24"/>
          <w:rtl/>
        </w:rPr>
        <w:t>הולצמן-גזית</w:t>
      </w:r>
      <w:r w:rsidRPr="00643EF4">
        <w:rPr>
          <w:rFonts w:ascii="Century" w:hAnsi="Century" w:hint="cs"/>
          <w:sz w:val="22"/>
          <w:rtl/>
        </w:rPr>
        <w:t xml:space="preserve">, בעמ' 252-246; </w:t>
      </w:r>
      <w:r w:rsidRPr="00643EF4">
        <w:rPr>
          <w:rFonts w:hint="cs"/>
          <w:rtl/>
        </w:rPr>
        <w:t xml:space="preserve">אירית חביב-סגל "בעיות תיאום ושאלת המטרה הציבורית בהפקעת מקרקעין" </w:t>
      </w:r>
      <w:r w:rsidRPr="00643EF4">
        <w:rPr>
          <w:rFonts w:ascii="Century" w:hAnsi="Century" w:cs="Miriam" w:hint="cs"/>
          <w:b/>
          <w:szCs w:val="24"/>
          <w:rtl/>
        </w:rPr>
        <w:t>מקרקעין בישראל: בין הפרטי ללאומי</w:t>
      </w:r>
      <w:r w:rsidRPr="00643EF4">
        <w:rPr>
          <w:rFonts w:ascii="Century" w:hAnsi="Century" w:hint="cs"/>
          <w:rtl/>
        </w:rPr>
        <w:t xml:space="preserve"> 97 (1999)</w:t>
      </w:r>
      <w:r w:rsidRPr="00643EF4">
        <w:rPr>
          <w:rFonts w:ascii="Century" w:hAnsi="Century" w:hint="cs"/>
          <w:sz w:val="22"/>
          <w:rtl/>
        </w:rPr>
        <w:t>)</w:t>
      </w:r>
      <w:r w:rsidRPr="00643EF4">
        <w:rPr>
          <w:rFonts w:hint="cs"/>
          <w:rtl/>
        </w:rPr>
        <w:t xml:space="preserve">. </w:t>
      </w:r>
      <w:r w:rsidRPr="00643EF4">
        <w:rPr>
          <w:rFonts w:ascii="Century" w:hAnsi="Century" w:hint="cs"/>
          <w:sz w:val="22"/>
          <w:rtl/>
        </w:rPr>
        <w:t>שיקול רלוונטי נוסף נוגע לפגיעה בשוויון. ב</w:t>
      </w:r>
      <w:r w:rsidRPr="00643EF4">
        <w:rPr>
          <w:rFonts w:hint="cs"/>
          <w:rtl/>
        </w:rPr>
        <w:t xml:space="preserve">בג"ץ 5601/94 </w:t>
      </w:r>
      <w:r w:rsidRPr="00643EF4">
        <w:rPr>
          <w:rFonts w:ascii="Century" w:hAnsi="Century" w:cs="Miriam" w:hint="cs"/>
          <w:b/>
          <w:sz w:val="22"/>
          <w:szCs w:val="24"/>
          <w:rtl/>
        </w:rPr>
        <w:t>אבו טיר נ' ראש הממשלה</w:t>
      </w:r>
      <w:r w:rsidRPr="00643EF4">
        <w:rPr>
          <w:rFonts w:ascii="Century" w:hAnsi="Century" w:hint="cs"/>
          <w:sz w:val="22"/>
          <w:rtl/>
        </w:rPr>
        <w:t xml:space="preserve"> (22.12.1994) </w:t>
      </w:r>
      <w:r w:rsidRPr="00643EF4">
        <w:rPr>
          <w:rtl/>
        </w:rPr>
        <w:t>(</w:t>
      </w:r>
      <w:r w:rsidRPr="00643EF4">
        <w:rPr>
          <w:rFonts w:hint="eastAsia"/>
          <w:rtl/>
        </w:rPr>
        <w:t>להלן</w:t>
      </w:r>
      <w:r w:rsidRPr="00643EF4">
        <w:rPr>
          <w:rtl/>
        </w:rPr>
        <w:t xml:space="preserve">: </w:t>
      </w:r>
      <w:r w:rsidRPr="00643EF4">
        <w:rPr>
          <w:rFonts w:ascii="Century" w:hAnsi="Century" w:hint="cs"/>
          <w:sz w:val="22"/>
          <w:rtl/>
        </w:rPr>
        <w:t>עניין</w:t>
      </w:r>
      <w:r w:rsidRPr="00643EF4">
        <w:rPr>
          <w:rFonts w:ascii="Century" w:hAnsi="Century" w:cs="Miriam" w:hint="cs"/>
          <w:b/>
          <w:sz w:val="22"/>
          <w:szCs w:val="24"/>
          <w:rtl/>
        </w:rPr>
        <w:t xml:space="preserve"> אבו טיר</w:t>
      </w:r>
      <w:r w:rsidRPr="00643EF4">
        <w:rPr>
          <w:rFonts w:hint="cs"/>
          <w:rtl/>
        </w:rPr>
        <w:t>)</w:t>
      </w:r>
      <w:r w:rsidRPr="00643EF4">
        <w:rPr>
          <w:rFonts w:ascii="Century" w:hAnsi="Century" w:hint="cs"/>
          <w:sz w:val="22"/>
          <w:rtl/>
        </w:rPr>
        <w:t xml:space="preserve"> דחה בית המשפט טענת הפליה שהעלו העותרים בכל הנוגע להפקעת אדמות בהר חומה לצורך בניית שכונת מגורים. בית המשפט קבע כי בניגוד לטענת העותרים לפיה השכונה מיועדת לתושבים יהודים, מרבית המקרקעין המופקעים שייכים לתושבים יהודים, וטרם נקבעו הקריטריונים להקצאת הזכויות במקרקעין מחדש לאחר ההפקעה ולאיכלוס השטח. לעומת זאת, כאשר שוכנע בית המשפט כי </w:t>
      </w:r>
      <w:r w:rsidRPr="00643EF4">
        <w:rPr>
          <w:rFonts w:hint="cs"/>
          <w:rtl/>
        </w:rPr>
        <w:t xml:space="preserve">המטרה הציבורית של ההפקעה שצוינה איננה אלא כסות ומסווה להפקעת מקרקעין מטעמים מפלים, למשל בשל השתייכות דתית או לאומית, נפסק כי מדובר בהפקעה פסולה הפוגעת בשוויון (ראו בג"ץ 392/72 </w:t>
      </w:r>
      <w:r w:rsidRPr="00643EF4">
        <w:rPr>
          <w:rFonts w:cs="Miriam" w:hint="cs"/>
          <w:b/>
          <w:szCs w:val="24"/>
          <w:rtl/>
        </w:rPr>
        <w:t>ברגר נ' הוועדה המחוזית לתכנון ולבניה, מחוז חיפה</w:t>
      </w:r>
      <w:r w:rsidRPr="00643EF4">
        <w:rPr>
          <w:rFonts w:hint="cs"/>
          <w:rtl/>
        </w:rPr>
        <w:t xml:space="preserve">, פ"ד כז(2) 764 (1973); בג"ץ 7817/98 </w:t>
      </w:r>
      <w:r w:rsidRPr="00643EF4">
        <w:rPr>
          <w:rFonts w:cs="Miriam" w:hint="cs"/>
          <w:b/>
          <w:szCs w:val="24"/>
          <w:rtl/>
        </w:rPr>
        <w:t>מועצה מקומית זמר נ' המועצה הארצית לתכנון ולבנייה</w:t>
      </w:r>
      <w:r w:rsidRPr="00643EF4">
        <w:rPr>
          <w:rFonts w:hint="cs"/>
          <w:rtl/>
        </w:rPr>
        <w:t xml:space="preserve">, פ"ד נה(3) 503, 512 (2001) (להלן: עניין </w:t>
      </w:r>
      <w:r w:rsidRPr="00643EF4">
        <w:rPr>
          <w:rFonts w:cs="Miriam" w:hint="cs"/>
          <w:b/>
          <w:szCs w:val="24"/>
          <w:rtl/>
        </w:rPr>
        <w:t>זמר</w:t>
      </w:r>
      <w:r w:rsidRPr="00643EF4">
        <w:rPr>
          <w:rFonts w:hint="cs"/>
          <w:rtl/>
        </w:rPr>
        <w:t xml:space="preserve">); חמן שלח "הפקעת קרקעות לצרכי ציבור </w:t>
      </w:r>
      <w:r w:rsidRPr="00643EF4">
        <w:rPr>
          <w:rtl/>
        </w:rPr>
        <w:t>–</w:t>
      </w:r>
      <w:r w:rsidRPr="00643EF4">
        <w:rPr>
          <w:rFonts w:hint="cs"/>
          <w:rtl/>
        </w:rPr>
        <w:t xml:space="preserve"> להרחבת הביקורת השיפוטית" </w:t>
      </w:r>
      <w:r w:rsidRPr="00643EF4">
        <w:rPr>
          <w:rFonts w:cs="Miriam" w:hint="cs"/>
          <w:b/>
          <w:szCs w:val="24"/>
          <w:rtl/>
        </w:rPr>
        <w:t xml:space="preserve">עיוני משפט </w:t>
      </w:r>
      <w:r w:rsidRPr="00643EF4">
        <w:rPr>
          <w:rFonts w:hint="cs"/>
          <w:rtl/>
        </w:rPr>
        <w:t xml:space="preserve">ז 618, 627 (1980); איל בנבנשתי "'נפרד אבל שווה' בהקצאת מקרקעי ישראל למגורים" </w:t>
      </w:r>
      <w:r w:rsidRPr="00643EF4">
        <w:rPr>
          <w:rFonts w:cs="Miriam" w:hint="cs"/>
          <w:b/>
          <w:szCs w:val="24"/>
          <w:rtl/>
        </w:rPr>
        <w:t>מקרקעין בישראל: בין הפרטי ללאומי</w:t>
      </w:r>
      <w:r w:rsidRPr="00643EF4">
        <w:rPr>
          <w:rFonts w:hint="cs"/>
          <w:rtl/>
        </w:rPr>
        <w:t xml:space="preserve"> 547, 566 (1999); השוו ל</w:t>
      </w:r>
      <w:r w:rsidRPr="00643EF4">
        <w:rPr>
          <w:rFonts w:cs="Miriam" w:hint="cs"/>
          <w:b/>
          <w:szCs w:val="24"/>
          <w:rtl/>
        </w:rPr>
        <w:t>נמדר</w:t>
      </w:r>
      <w:r w:rsidRPr="00643EF4">
        <w:rPr>
          <w:rFonts w:hint="cs"/>
          <w:rtl/>
        </w:rPr>
        <w:t>, בעמ' 634 ול</w:t>
      </w:r>
      <w:r w:rsidRPr="00643EF4">
        <w:rPr>
          <w:rFonts w:cs="Miriam" w:hint="cs"/>
          <w:b/>
          <w:szCs w:val="24"/>
          <w:rtl/>
        </w:rPr>
        <w:t>זנדברג</w:t>
      </w:r>
      <w:r w:rsidRPr="00643EF4">
        <w:rPr>
          <w:rFonts w:hint="cs"/>
          <w:rtl/>
        </w:rPr>
        <w:t>, בעמ' 99)</w:t>
      </w:r>
      <w:r w:rsidRPr="00643EF4">
        <w:rPr>
          <w:rFonts w:ascii="Century" w:hAnsi="Century" w:hint="cs"/>
          <w:sz w:val="22"/>
          <w:rtl/>
        </w:rPr>
        <w:t xml:space="preserve">. </w:t>
      </w:r>
    </w:p>
    <w:p w14:paraId="3A9DA3D8"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4CA37839" w14:textId="15107EF5" w:rsidR="00190218" w:rsidRPr="00643EF4" w:rsidRDefault="00462A9D" w:rsidP="00190218">
      <w:pPr>
        <w:pStyle w:val="Ruller4"/>
        <w:rPr>
          <w:rtl/>
        </w:rPr>
      </w:pPr>
      <w:r w:rsidRPr="00643EF4">
        <w:rPr>
          <w:rFonts w:hint="cs"/>
          <w:rtl/>
        </w:rPr>
        <w:t xml:space="preserve">הנה כי כן, </w:t>
      </w:r>
      <w:r w:rsidR="00190218" w:rsidRPr="00643EF4">
        <w:rPr>
          <w:rFonts w:hint="cs"/>
          <w:rtl/>
        </w:rPr>
        <w:t xml:space="preserve">בדומה לדין החל באזור, העיקרון המרכזי שעליו מיוסדת גם בדין הישראלי ההצדקה לנטילה שלטונית כפויה על דרך של הפקעה, הוא שהדבר דרוש ל"צורך ציבורי". עמדנו בתמצית על המשמעות שאותה יצקו המחוקק ובית המשפט למונח זה ועל השיקולים הרלוונטיים שאותם שקל בית המשפט בדונו בחוקיות ההפקעה. "צורך ציבורי" כמשמעותו זו אין למצוא בחוק ההסדרה, המבקש להכשיר ולהסדיר בדיעבד בנייה שבוצעה שלא כחוק הן בהיבט התכנוני והן בהיבט הקנייני וזאת באופן המיועד להיטיב במובהק עם אוכלוסיית המתיישבים הישראלים באזור ועם הישובים שהוקמו על ידם ועבורם בלבד. חוק ההסדרה אינו עוסק במצבים שבהם זהות הגורמים הפרטיים אשר ייהנו מן ההפקעה אינה ידועה או תקבע לאחר מעשה ההפקעה (ראו עניין </w:t>
      </w:r>
      <w:r w:rsidR="00190218" w:rsidRPr="00643EF4">
        <w:rPr>
          <w:rFonts w:ascii="Century" w:hAnsi="Century" w:cs="Miriam" w:hint="cs"/>
          <w:b/>
          <w:sz w:val="22"/>
          <w:szCs w:val="24"/>
          <w:rtl/>
        </w:rPr>
        <w:t>אבו טיר</w:t>
      </w:r>
      <w:r w:rsidR="00190218" w:rsidRPr="00643EF4">
        <w:rPr>
          <w:rFonts w:hint="cs"/>
          <w:rtl/>
        </w:rPr>
        <w:t xml:space="preserve"> לעיל), ואף לא במקרים שבהם תיטיב ההפקעה עם כלל אוכלוסיית התושבים </w:t>
      </w:r>
      <w:r w:rsidR="00190218" w:rsidRPr="00643EF4">
        <w:rPr>
          <w:rFonts w:hint="cs"/>
          <w:rtl/>
        </w:rPr>
        <w:lastRenderedPageBreak/>
        <w:t xml:space="preserve">באזור, לרבות מי שזכויותיו ניטלו. במילים אחרות, אין מדובר בנטילה שלטונית כפויה שבה כל קבוצה סובלת "מנת חלקה" מגזירה של הפקעת זכויות, אך צפויה להנות מן הטובין הציבוריים שלשמם בוצעה אותה הפקעה (השוו לעניין </w:t>
      </w:r>
      <w:r w:rsidR="00190218" w:rsidRPr="00643EF4">
        <w:rPr>
          <w:rFonts w:ascii="Century" w:hAnsi="Century" w:cs="Miriam" w:hint="cs"/>
          <w:b/>
          <w:sz w:val="22"/>
          <w:szCs w:val="24"/>
          <w:rtl/>
        </w:rPr>
        <w:t>זמר</w:t>
      </w:r>
      <w:r w:rsidR="00190218" w:rsidRPr="00643EF4">
        <w:rPr>
          <w:rFonts w:hint="cs"/>
          <w:rtl/>
        </w:rPr>
        <w:t>). בהינתן מאפיינים אלה של חוק ההסדרה ואף אם אין מביאים בחשבון את העובדה שמדובר במקרקעין הממוקמים באזור הנתון תחת תפיסה לוחמתית על כל המורכבות הנובעת מכך, נראה כי לא ניתן לסווג את נטילת הזכויות על פי חוק ההסדרה כצורך ציבורי לגיטימי המכשיר אותה. לפיכך גם היקש מן הדין החל בישראל אין בו כדי לסייע או לתמוך במסקנה כי יש הצדקה, בשל "צורך ציבורי", לנטילה השלטונית הכפויה הקבועה בחוק ההסדרה.</w:t>
      </w:r>
    </w:p>
    <w:p w14:paraId="36480BF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05007DE5"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(ג) הפקעה לצורכי ציבור במשפט האמריקני</w:t>
      </w:r>
    </w:p>
    <w:p w14:paraId="7EEA6845"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01AF141C" w14:textId="7CFE3BD3" w:rsidR="00190218" w:rsidRPr="00643EF4" w:rsidRDefault="00190218" w:rsidP="00190218">
      <w:pPr>
        <w:pStyle w:val="Ruller4"/>
        <w:rPr>
          <w:rtl/>
        </w:rPr>
      </w:pPr>
      <w:r w:rsidRPr="00643EF4">
        <w:rPr>
          <w:rFonts w:hint="cs"/>
          <w:rtl/>
        </w:rPr>
        <w:t xml:space="preserve">הממשלה, הכנסת ומועצת מטה בנימין הוסיפו והפנו בטיעוניהן לשורה של פסקי דין אמריקאיים מהם הן מבקשות ללמוד כי ניתן להפקיע מקרקעין פרטיים לצורך הקמת שכונות מגורים חדשות. אכן, המשפט המשווה משמש לא אחת מקור נוסף והשראה בבואנו להכריע בסוגיות העומדות בפנינו. עם זאת, יש לזכור כי ההיזקקות לדינים החלים במדינות שונות בעולם ראוי לה כי תעשה בזהירות המתבקשת, בהינתן השוני הנורמטיבי, התרבותי והחברתי הקיים בין מדינות העולם (אהרן ברק </w:t>
      </w:r>
      <w:r w:rsidRPr="00643EF4">
        <w:rPr>
          <w:rFonts w:ascii="Century" w:hAnsi="Century" w:cs="Miriam" w:hint="cs"/>
          <w:b/>
          <w:sz w:val="22"/>
          <w:szCs w:val="24"/>
          <w:rtl/>
        </w:rPr>
        <w:t>מידתיות במשפט</w:t>
      </w:r>
      <w:r w:rsidRPr="00643EF4">
        <w:rPr>
          <w:rFonts w:hint="cs"/>
          <w:rtl/>
        </w:rPr>
        <w:t xml:space="preserve"> 94-91 </w:t>
      </w:r>
      <w:r w:rsidRPr="00643EF4">
        <w:rPr>
          <w:rFonts w:ascii="Century" w:hAnsi="Century" w:hint="cs"/>
          <w:sz w:val="22"/>
          <w:rtl/>
        </w:rPr>
        <w:t>(2010)</w:t>
      </w:r>
      <w:r w:rsidRPr="00643EF4">
        <w:rPr>
          <w:rFonts w:hint="cs"/>
          <w:rtl/>
        </w:rPr>
        <w:t xml:space="preserve">). </w:t>
      </w:r>
    </w:p>
    <w:p w14:paraId="34A31F29"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70EF2915" w14:textId="4D6129C4" w:rsidR="00190218" w:rsidRPr="00643EF4" w:rsidRDefault="00190218" w:rsidP="00190218">
      <w:pPr>
        <w:pStyle w:val="Ruller4"/>
        <w:rPr>
          <w:rFonts w:ascii="Century" w:hAnsi="Century"/>
          <w:rtl/>
          <w:lang w:val="en"/>
        </w:rPr>
      </w:pPr>
      <w:r w:rsidRPr="00643EF4">
        <w:rPr>
          <w:rFonts w:hint="eastAsia"/>
          <w:rtl/>
        </w:rPr>
        <w:t>סמכות</w:t>
      </w:r>
      <w:r w:rsidRPr="00643EF4">
        <w:rPr>
          <w:rtl/>
        </w:rPr>
        <w:t xml:space="preserve"> </w:t>
      </w:r>
      <w:r w:rsidRPr="00643EF4">
        <w:rPr>
          <w:rFonts w:hint="eastAsia"/>
          <w:rtl/>
        </w:rPr>
        <w:t>ההפקעה</w:t>
      </w:r>
      <w:r w:rsidRPr="00643EF4">
        <w:rPr>
          <w:rFonts w:hint="cs"/>
          <w:rtl/>
        </w:rPr>
        <w:t xml:space="preserve"> ב</w:t>
      </w:r>
      <w:r w:rsidRPr="00643EF4">
        <w:rPr>
          <w:rFonts w:hint="eastAsia"/>
          <w:rtl/>
        </w:rPr>
        <w:t>אר</w:t>
      </w:r>
      <w:r w:rsidRPr="00643EF4">
        <w:rPr>
          <w:rFonts w:hint="cs"/>
          <w:rtl/>
        </w:rPr>
        <w:t>צות הברית</w:t>
      </w:r>
      <w:r w:rsidRPr="00643EF4">
        <w:rPr>
          <w:rtl/>
        </w:rPr>
        <w:t xml:space="preserve"> </w:t>
      </w:r>
      <w:r w:rsidRPr="00643EF4">
        <w:rPr>
          <w:rFonts w:hint="eastAsia"/>
          <w:rtl/>
        </w:rPr>
        <w:t>נתונה</w:t>
      </w:r>
      <w:r w:rsidRPr="00643EF4">
        <w:rPr>
          <w:rtl/>
        </w:rPr>
        <w:t xml:space="preserve"> </w:t>
      </w:r>
      <w:r w:rsidRPr="00643EF4">
        <w:rPr>
          <w:rFonts w:hint="eastAsia"/>
          <w:rtl/>
        </w:rPr>
        <w:t>בידי</w:t>
      </w:r>
      <w:r w:rsidRPr="00643EF4">
        <w:rPr>
          <w:rtl/>
        </w:rPr>
        <w:t xml:space="preserve"> </w:t>
      </w:r>
      <w:r w:rsidRPr="00643EF4">
        <w:rPr>
          <w:rFonts w:hint="eastAsia"/>
          <w:rtl/>
        </w:rPr>
        <w:t>הממשל</w:t>
      </w:r>
      <w:r w:rsidRPr="00643EF4">
        <w:rPr>
          <w:rtl/>
        </w:rPr>
        <w:t xml:space="preserve"> </w:t>
      </w:r>
      <w:r w:rsidRPr="00643EF4">
        <w:rPr>
          <w:rFonts w:hint="eastAsia"/>
          <w:rtl/>
        </w:rPr>
        <w:t>הפדרלי</w:t>
      </w:r>
      <w:r w:rsidRPr="00643EF4">
        <w:rPr>
          <w:rtl/>
        </w:rPr>
        <w:t xml:space="preserve"> </w:t>
      </w:r>
      <w:r w:rsidRPr="00643EF4">
        <w:rPr>
          <w:rFonts w:hint="eastAsia"/>
          <w:rtl/>
        </w:rPr>
        <w:t>ו</w:t>
      </w:r>
      <w:r w:rsidRPr="00643EF4">
        <w:rPr>
          <w:rFonts w:hint="cs"/>
          <w:rtl/>
        </w:rPr>
        <w:t xml:space="preserve">כן </w:t>
      </w:r>
      <w:r w:rsidRPr="00643EF4">
        <w:rPr>
          <w:rFonts w:hint="eastAsia"/>
          <w:rtl/>
        </w:rPr>
        <w:t>בידי</w:t>
      </w:r>
      <w:r w:rsidRPr="00643EF4">
        <w:rPr>
          <w:rtl/>
        </w:rPr>
        <w:t xml:space="preserve"> </w:t>
      </w:r>
      <w:r w:rsidRPr="00643EF4">
        <w:rPr>
          <w:rFonts w:hint="eastAsia"/>
          <w:rtl/>
        </w:rPr>
        <w:t>המדינות</w:t>
      </w:r>
      <w:r w:rsidRPr="00643EF4">
        <w:rPr>
          <w:rFonts w:hint="cs"/>
          <w:rtl/>
        </w:rPr>
        <w:t xml:space="preserve"> השונות, ומרבית ההפקעות מתבצעות על ידן</w:t>
      </w:r>
      <w:r w:rsidRPr="00643EF4">
        <w:rPr>
          <w:rtl/>
        </w:rPr>
        <w:t xml:space="preserve">. </w:t>
      </w:r>
      <w:r w:rsidRPr="00643EF4">
        <w:rPr>
          <w:rFonts w:hint="eastAsia"/>
          <w:rtl/>
        </w:rPr>
        <w:t>סמכות</w:t>
      </w:r>
      <w:r w:rsidRPr="00643EF4">
        <w:rPr>
          <w:rtl/>
        </w:rPr>
        <w:t xml:space="preserve"> </w:t>
      </w:r>
      <w:r w:rsidRPr="00643EF4">
        <w:rPr>
          <w:rFonts w:hint="eastAsia"/>
          <w:rtl/>
        </w:rPr>
        <w:t>זו</w:t>
      </w:r>
      <w:r w:rsidRPr="00643EF4">
        <w:rPr>
          <w:rtl/>
        </w:rPr>
        <w:t xml:space="preserve"> </w:t>
      </w:r>
      <w:r w:rsidRPr="00643EF4">
        <w:rPr>
          <w:rFonts w:hint="eastAsia"/>
          <w:rtl/>
        </w:rPr>
        <w:t>מוגבלת</w:t>
      </w:r>
      <w:r w:rsidRPr="00643EF4">
        <w:rPr>
          <w:rtl/>
        </w:rPr>
        <w:t xml:space="preserve"> </w:t>
      </w:r>
      <w:r w:rsidRPr="00643EF4">
        <w:rPr>
          <w:rFonts w:hint="eastAsia"/>
          <w:rtl/>
        </w:rPr>
        <w:t>על</w:t>
      </w:r>
      <w:r w:rsidRPr="00643EF4">
        <w:rPr>
          <w:rtl/>
        </w:rPr>
        <w:t xml:space="preserve"> </w:t>
      </w:r>
      <w:r w:rsidRPr="00643EF4">
        <w:rPr>
          <w:rFonts w:hint="eastAsia"/>
          <w:rtl/>
        </w:rPr>
        <w:t>ידי</w:t>
      </w:r>
      <w:r w:rsidRPr="00643EF4">
        <w:rPr>
          <w:rtl/>
        </w:rPr>
        <w:t xml:space="preserve"> </w:t>
      </w:r>
      <w:r w:rsidRPr="00643EF4">
        <w:rPr>
          <w:rFonts w:hint="eastAsia"/>
          <w:rtl/>
        </w:rPr>
        <w:t>התיקון</w:t>
      </w:r>
      <w:r w:rsidRPr="00643EF4">
        <w:rPr>
          <w:rtl/>
        </w:rPr>
        <w:t xml:space="preserve"> </w:t>
      </w:r>
      <w:r w:rsidRPr="00643EF4">
        <w:rPr>
          <w:rFonts w:hint="eastAsia"/>
          <w:rtl/>
        </w:rPr>
        <w:t>החמישי</w:t>
      </w:r>
      <w:r w:rsidRPr="00643EF4">
        <w:rPr>
          <w:rtl/>
        </w:rPr>
        <w:t xml:space="preserve"> </w:t>
      </w:r>
      <w:r w:rsidRPr="00643EF4">
        <w:rPr>
          <w:rFonts w:hint="eastAsia"/>
          <w:rtl/>
        </w:rPr>
        <w:t>לחוקה</w:t>
      </w:r>
      <w:r w:rsidRPr="00643EF4">
        <w:rPr>
          <w:rtl/>
        </w:rPr>
        <w:t xml:space="preserve"> </w:t>
      </w:r>
      <w:r w:rsidRPr="00643EF4">
        <w:rPr>
          <w:rFonts w:hint="eastAsia"/>
          <w:rtl/>
        </w:rPr>
        <w:t>אשר</w:t>
      </w:r>
      <w:r w:rsidRPr="00643EF4">
        <w:rPr>
          <w:rtl/>
        </w:rPr>
        <w:t xml:space="preserve"> </w:t>
      </w:r>
      <w:r w:rsidRPr="00643EF4">
        <w:rPr>
          <w:rFonts w:hint="eastAsia"/>
          <w:rtl/>
        </w:rPr>
        <w:t>קובע</w:t>
      </w:r>
      <w:r w:rsidRPr="00643EF4">
        <w:rPr>
          <w:rFonts w:hint="cs"/>
          <w:rtl/>
        </w:rPr>
        <w:t>,</w:t>
      </w:r>
      <w:r w:rsidRPr="00643EF4">
        <w:rPr>
          <w:rtl/>
        </w:rPr>
        <w:t xml:space="preserve"> </w:t>
      </w:r>
      <w:r w:rsidRPr="00643EF4">
        <w:rPr>
          <w:rFonts w:hint="eastAsia"/>
          <w:rtl/>
        </w:rPr>
        <w:t>בין</w:t>
      </w:r>
      <w:r w:rsidRPr="00643EF4">
        <w:rPr>
          <w:rtl/>
        </w:rPr>
        <w:t xml:space="preserve"> </w:t>
      </w:r>
      <w:r w:rsidRPr="00643EF4">
        <w:rPr>
          <w:rFonts w:hint="eastAsia"/>
          <w:rtl/>
        </w:rPr>
        <w:t>היתר</w:t>
      </w:r>
      <w:r w:rsidRPr="00643EF4">
        <w:rPr>
          <w:rFonts w:hint="cs"/>
          <w:rtl/>
        </w:rPr>
        <w:t>,</w:t>
      </w:r>
      <w:r w:rsidRPr="00643EF4">
        <w:rPr>
          <w:rtl/>
        </w:rPr>
        <w:t xml:space="preserve"> </w:t>
      </w:r>
      <w:r w:rsidRPr="00643EF4">
        <w:rPr>
          <w:rFonts w:hint="eastAsia"/>
          <w:rtl/>
        </w:rPr>
        <w:t>כי</w:t>
      </w:r>
      <w:r w:rsidRPr="00643EF4">
        <w:rPr>
          <w:rtl/>
        </w:rPr>
        <w:t xml:space="preserve"> </w:t>
      </w:r>
      <w:r w:rsidRPr="00643EF4">
        <w:rPr>
          <w:rFonts w:hint="eastAsia"/>
          <w:rtl/>
        </w:rPr>
        <w:t>רכוש</w:t>
      </w:r>
      <w:r w:rsidRPr="00643EF4">
        <w:rPr>
          <w:rtl/>
        </w:rPr>
        <w:t xml:space="preserve"> </w:t>
      </w:r>
      <w:r w:rsidRPr="00643EF4">
        <w:rPr>
          <w:rFonts w:hint="eastAsia"/>
          <w:rtl/>
        </w:rPr>
        <w:t>פרטי</w:t>
      </w:r>
      <w:r w:rsidRPr="00643EF4">
        <w:rPr>
          <w:rtl/>
        </w:rPr>
        <w:t xml:space="preserve"> </w:t>
      </w:r>
      <w:r w:rsidRPr="00643EF4">
        <w:rPr>
          <w:rFonts w:hint="eastAsia"/>
          <w:rtl/>
        </w:rPr>
        <w:t>לא</w:t>
      </w:r>
      <w:r w:rsidRPr="00643EF4">
        <w:rPr>
          <w:rtl/>
        </w:rPr>
        <w:t xml:space="preserve"> </w:t>
      </w:r>
      <w:r w:rsidRPr="00643EF4">
        <w:rPr>
          <w:rFonts w:hint="eastAsia"/>
          <w:rtl/>
        </w:rPr>
        <w:t>יילקח</w:t>
      </w:r>
      <w:r w:rsidRPr="00643EF4">
        <w:rPr>
          <w:rtl/>
        </w:rPr>
        <w:t xml:space="preserve"> </w:t>
      </w:r>
      <w:r w:rsidRPr="00643EF4">
        <w:rPr>
          <w:rFonts w:hint="eastAsia"/>
          <w:rtl/>
        </w:rPr>
        <w:t>לטובת</w:t>
      </w:r>
      <w:r w:rsidRPr="00643EF4">
        <w:rPr>
          <w:rtl/>
        </w:rPr>
        <w:t xml:space="preserve"> </w:t>
      </w:r>
      <w:r w:rsidRPr="00643EF4">
        <w:rPr>
          <w:rFonts w:cs="Miriam" w:hint="cs"/>
          <w:szCs w:val="24"/>
          <w:rtl/>
        </w:rPr>
        <w:t>צורך</w:t>
      </w:r>
      <w:r w:rsidRPr="00643EF4">
        <w:rPr>
          <w:rFonts w:cs="Miriam"/>
          <w:szCs w:val="24"/>
          <w:rtl/>
        </w:rPr>
        <w:t xml:space="preserve"> </w:t>
      </w:r>
      <w:r w:rsidRPr="00643EF4">
        <w:rPr>
          <w:rFonts w:cs="Miriam" w:hint="eastAsia"/>
          <w:szCs w:val="24"/>
          <w:rtl/>
        </w:rPr>
        <w:t>ציבורי</w:t>
      </w:r>
      <w:r w:rsidRPr="00643EF4">
        <w:rPr>
          <w:rFonts w:cs="Miriam"/>
          <w:szCs w:val="24"/>
          <w:rtl/>
        </w:rPr>
        <w:t xml:space="preserve"> </w:t>
      </w:r>
      <w:r w:rsidRPr="00643EF4">
        <w:rPr>
          <w:rFonts w:hint="eastAsia"/>
          <w:rtl/>
        </w:rPr>
        <w:t>ללא</w:t>
      </w:r>
      <w:r w:rsidRPr="00643EF4">
        <w:rPr>
          <w:rtl/>
        </w:rPr>
        <w:t xml:space="preserve"> </w:t>
      </w:r>
      <w:r w:rsidRPr="00643EF4">
        <w:rPr>
          <w:rFonts w:hint="eastAsia"/>
          <w:rtl/>
        </w:rPr>
        <w:t>פיצוי</w:t>
      </w:r>
      <w:r w:rsidRPr="00643EF4">
        <w:rPr>
          <w:rtl/>
        </w:rPr>
        <w:t xml:space="preserve"> </w:t>
      </w:r>
      <w:r w:rsidRPr="00643EF4">
        <w:rPr>
          <w:rFonts w:hint="eastAsia"/>
          <w:rtl/>
        </w:rPr>
        <w:t>נאות</w:t>
      </w:r>
      <w:r w:rsidRPr="00643EF4">
        <w:rPr>
          <w:rtl/>
        </w:rPr>
        <w:t xml:space="preserve"> (</w:t>
      </w:r>
      <w:r w:rsidRPr="00643EF4">
        <w:rPr>
          <w:rFonts w:hint="eastAsia"/>
          <w:rtl/>
        </w:rPr>
        <w:t>ובמקור</w:t>
      </w:r>
      <w:r w:rsidRPr="00643EF4">
        <w:rPr>
          <w:rtl/>
        </w:rPr>
        <w:t xml:space="preserve"> </w:t>
      </w:r>
      <w:r w:rsidRPr="00643EF4">
        <w:rPr>
          <w:rFonts w:ascii="Century" w:hAnsi="Century"/>
          <w:sz w:val="22"/>
          <w:szCs w:val="22"/>
        </w:rPr>
        <w:t>"nor shall private property be taken for public use, without just compensation"</w:t>
      </w:r>
      <w:r w:rsidRPr="00643EF4">
        <w:rPr>
          <w:rtl/>
        </w:rPr>
        <w:t>)</w:t>
      </w:r>
      <w:r w:rsidRPr="00643EF4">
        <w:rPr>
          <w:rFonts w:hint="cs"/>
          <w:rtl/>
        </w:rPr>
        <w:t>. הנה כי כן, העיקרון המרכזי שעליו כבר עמדנו ולפיו אין ליטול רכוש פרטי אלא לטובת צורך ציבורי, מעוגן גם בחוקה האמריקאית ובהתאמה לכך, בחקיקה הפנימית במרבית המדינות בארצות הברית (</w:t>
      </w:r>
      <w:r w:rsidRPr="00643EF4">
        <w:rPr>
          <w:rFonts w:ascii="Century" w:hAnsi="Century"/>
          <w:sz w:val="22"/>
          <w:szCs w:val="22"/>
        </w:rPr>
        <w:t xml:space="preserve">Ilya Somin, </w:t>
      </w:r>
      <w:r w:rsidRPr="00643EF4">
        <w:rPr>
          <w:rFonts w:ascii="Century" w:hAnsi="Century"/>
          <w:i/>
          <w:iCs/>
          <w:sz w:val="22"/>
          <w:szCs w:val="22"/>
        </w:rPr>
        <w:t>Eminent Domain in the United States, in</w:t>
      </w:r>
      <w:r w:rsidRPr="00643EF4">
        <w:rPr>
          <w:rFonts w:ascii="Century" w:hAnsi="Century"/>
          <w:sz w:val="22"/>
          <w:szCs w:val="22"/>
        </w:rPr>
        <w:t xml:space="preserve"> </w:t>
      </w:r>
      <w:r w:rsidRPr="00643EF4">
        <w:rPr>
          <w:rFonts w:ascii="Century" w:hAnsi="Century"/>
          <w:smallCaps/>
          <w:sz w:val="22"/>
          <w:szCs w:val="22"/>
        </w:rPr>
        <w:t>Eminent Domain: A Comparative Perspective</w:t>
      </w:r>
      <w:r w:rsidRPr="00643EF4">
        <w:rPr>
          <w:rFonts w:ascii="Century" w:hAnsi="Century"/>
          <w:sz w:val="22"/>
          <w:szCs w:val="22"/>
        </w:rPr>
        <w:t xml:space="preserve"> 38, 40 (2017)</w:t>
      </w:r>
      <w:r w:rsidRPr="00643EF4">
        <w:rPr>
          <w:rtl/>
        </w:rPr>
        <w:t xml:space="preserve"> </w:t>
      </w:r>
      <w:r w:rsidRPr="00643EF4">
        <w:rPr>
          <w:rFonts w:hint="cs"/>
          <w:rtl/>
        </w:rPr>
        <w:t xml:space="preserve">(להלן: </w:t>
      </w:r>
      <w:r w:rsidRPr="00643EF4">
        <w:rPr>
          <w:rFonts w:ascii="Century" w:hAnsi="Century" w:cs="Miriam" w:hint="cs"/>
          <w:b/>
          <w:sz w:val="22"/>
          <w:szCs w:val="24"/>
          <w:rtl/>
        </w:rPr>
        <w:t>סומין</w:t>
      </w:r>
      <w:r w:rsidRPr="00643EF4">
        <w:rPr>
          <w:rFonts w:ascii="Century" w:hAnsi="Century" w:hint="cs"/>
          <w:sz w:val="22"/>
          <w:rtl/>
        </w:rPr>
        <w:t>))</w:t>
      </w:r>
      <w:r w:rsidRPr="00643EF4">
        <w:rPr>
          <w:rtl/>
        </w:rPr>
        <w:t xml:space="preserve">. </w:t>
      </w:r>
      <w:r w:rsidRPr="00643EF4">
        <w:rPr>
          <w:rFonts w:hint="cs"/>
          <w:rtl/>
        </w:rPr>
        <w:t xml:space="preserve"> </w:t>
      </w:r>
    </w:p>
    <w:p w14:paraId="2207FC86" w14:textId="77777777" w:rsidR="00190218" w:rsidRPr="00643EF4" w:rsidRDefault="00190218" w:rsidP="00190218">
      <w:pPr>
        <w:tabs>
          <w:tab w:val="left" w:pos="800"/>
        </w:tabs>
        <w:spacing w:line="360" w:lineRule="auto"/>
        <w:jc w:val="both"/>
        <w:rPr>
          <w:rFonts w:ascii="Century" w:hAnsi="Century" w:cs="FrankRuehl"/>
          <w:spacing w:val="10"/>
          <w:sz w:val="24"/>
          <w:szCs w:val="28"/>
          <w:rtl/>
          <w:lang w:val="en"/>
        </w:rPr>
      </w:pPr>
    </w:p>
    <w:p w14:paraId="276F57C1" w14:textId="77777777" w:rsidR="00190218" w:rsidRPr="00643EF4" w:rsidRDefault="00190218" w:rsidP="00190218">
      <w:pPr>
        <w:tabs>
          <w:tab w:val="left" w:pos="800"/>
        </w:tabs>
        <w:spacing w:line="360" w:lineRule="auto"/>
        <w:jc w:val="both"/>
        <w:rPr>
          <w:rFonts w:ascii="Century" w:hAnsi="Century" w:cs="FrankRuehl"/>
          <w:spacing w:val="10"/>
          <w:sz w:val="24"/>
          <w:szCs w:val="28"/>
          <w:rtl/>
          <w:lang w:val="en"/>
        </w:rPr>
      </w:pPr>
      <w:r w:rsidRPr="00643EF4">
        <w:rPr>
          <w:rFonts w:ascii="Century" w:hAnsi="Century" w:cs="FrankRuehl"/>
          <w:spacing w:val="10"/>
          <w:sz w:val="22"/>
          <w:szCs w:val="28"/>
          <w:rtl/>
        </w:rPr>
        <w:tab/>
      </w:r>
      <w:r w:rsidRPr="00643EF4">
        <w:rPr>
          <w:rFonts w:ascii="Century" w:hAnsi="Century" w:cs="FrankRuehl" w:hint="cs"/>
          <w:spacing w:val="10"/>
          <w:sz w:val="22"/>
          <w:szCs w:val="28"/>
          <w:rtl/>
        </w:rPr>
        <w:t xml:space="preserve">אחת השאלות שעלו בפסיקה האמריקנית בבואה לפרש את המונח "צורך ציבורי" הייתה האם ניתן להפקיע מקרקעין פרטיים ולהעבירם לבעלות פרטית אחרת על מנת לקדם תכליות של פיתוח עירוני. בפסק הדין בעניין </w:t>
      </w:r>
      <w:r w:rsidRPr="00643EF4">
        <w:rPr>
          <w:rFonts w:ascii="Century" w:hAnsi="Century" w:cs="Miriam" w:hint="cs"/>
          <w:b/>
          <w:sz w:val="22"/>
          <w:rtl/>
        </w:rPr>
        <w:t xml:space="preserve">נברסקה </w:t>
      </w:r>
      <w:r w:rsidRPr="00643EF4">
        <w:rPr>
          <w:rFonts w:ascii="Century" w:hAnsi="Century" w:cs="FrankRuehl" w:hint="cs"/>
          <w:spacing w:val="10"/>
          <w:sz w:val="22"/>
          <w:szCs w:val="28"/>
          <w:rtl/>
        </w:rPr>
        <w:t>(</w:t>
      </w:r>
      <w:r w:rsidRPr="00643EF4">
        <w:rPr>
          <w:rFonts w:ascii="Century" w:hAnsi="Century" w:cs="Arial"/>
          <w:color w:val="1A1A1A"/>
          <w:spacing w:val="10"/>
          <w:sz w:val="22"/>
          <w:szCs w:val="22"/>
          <w:lang w:val="en"/>
        </w:rPr>
        <w:t>Missouri Pacific Ry. Co. v. Nebraska, 164 U.S. 403 (1896)</w:t>
      </w:r>
      <w:r w:rsidRPr="00643EF4">
        <w:rPr>
          <w:rFonts w:ascii="Century" w:hAnsi="Century" w:cs="FrankRuehl" w:hint="cs"/>
          <w:spacing w:val="10"/>
          <w:sz w:val="22"/>
          <w:szCs w:val="28"/>
          <w:rtl/>
          <w:lang w:val="en"/>
        </w:rPr>
        <w:t xml:space="preserve">) </w:t>
      </w:r>
      <w:r w:rsidRPr="00643EF4">
        <w:rPr>
          <w:rFonts w:ascii="Century" w:hAnsi="Century" w:cs="FrankRuehl" w:hint="cs"/>
          <w:spacing w:val="10"/>
          <w:sz w:val="24"/>
          <w:szCs w:val="28"/>
          <w:rtl/>
          <w:lang w:val="en"/>
        </w:rPr>
        <w:t xml:space="preserve">נפסק כי נטילה של זכויות פרטיות והעברתן לידיים פרטיות אחרות מנוגדת לחוקה האמריקנית. אך </w:t>
      </w:r>
      <w:r w:rsidRPr="00643EF4">
        <w:rPr>
          <w:rFonts w:ascii="Century" w:hAnsi="Century" w:cs="FrankRuehl" w:hint="cs"/>
          <w:spacing w:val="10"/>
          <w:sz w:val="22"/>
          <w:szCs w:val="28"/>
          <w:rtl/>
        </w:rPr>
        <w:t xml:space="preserve">כפי שמראה </w:t>
      </w:r>
      <w:r w:rsidRPr="00643EF4">
        <w:rPr>
          <w:rFonts w:ascii="Century" w:hAnsi="Century" w:cs="Miriam" w:hint="cs"/>
          <w:b/>
          <w:sz w:val="22"/>
          <w:rtl/>
        </w:rPr>
        <w:t>סומין</w:t>
      </w:r>
      <w:r w:rsidRPr="00643EF4">
        <w:rPr>
          <w:rFonts w:ascii="Century" w:hAnsi="Century" w:cs="FrankRuehl" w:hint="cs"/>
          <w:spacing w:val="10"/>
          <w:sz w:val="22"/>
          <w:szCs w:val="28"/>
          <w:rtl/>
        </w:rPr>
        <w:t xml:space="preserve">, בשנות ה-20 של המאה הקודמת החלה בפסיקה האמריקנית מגמה של פרשנות רחבה למונח "צורך ציבורי" שגברה, בין היתר, על רקע השפל הכלכלי הגדול בשנות ה-30 של </w:t>
      </w:r>
      <w:r w:rsidRPr="00643EF4">
        <w:rPr>
          <w:rFonts w:ascii="Century" w:hAnsi="Century" w:cs="FrankRuehl" w:hint="cs"/>
          <w:spacing w:val="10"/>
          <w:sz w:val="22"/>
          <w:szCs w:val="28"/>
          <w:rtl/>
        </w:rPr>
        <w:lastRenderedPageBreak/>
        <w:t>המאה הקודמת (</w:t>
      </w:r>
      <w:r w:rsidRPr="00643EF4">
        <w:rPr>
          <w:rFonts w:ascii="Century" w:hAnsi="Century" w:cs="Miriam" w:hint="cs"/>
          <w:b/>
          <w:sz w:val="22"/>
          <w:rtl/>
        </w:rPr>
        <w:t>שם</w:t>
      </w:r>
      <w:r w:rsidRPr="00643EF4">
        <w:rPr>
          <w:rFonts w:ascii="Century" w:hAnsi="Century" w:cs="FrankRuehl" w:hint="cs"/>
          <w:spacing w:val="10"/>
          <w:sz w:val="22"/>
          <w:szCs w:val="28"/>
          <w:rtl/>
        </w:rPr>
        <w:t xml:space="preserve">, בעמ' 44-43). </w:t>
      </w:r>
      <w:r w:rsidRPr="00643EF4">
        <w:rPr>
          <w:rFonts w:ascii="Garamond" w:hAnsi="Garamond" w:cs="FrankRuehl" w:hint="cs"/>
          <w:spacing w:val="10"/>
          <w:sz w:val="24"/>
          <w:szCs w:val="28"/>
          <w:rtl/>
        </w:rPr>
        <w:t xml:space="preserve">כך למשל, בפסק הדין בעניין </w:t>
      </w:r>
      <w:r w:rsidRPr="00643EF4">
        <w:rPr>
          <w:rFonts w:ascii="Century" w:hAnsi="Century" w:cs="Miriam" w:hint="cs"/>
          <w:b/>
          <w:sz w:val="22"/>
          <w:rtl/>
        </w:rPr>
        <w:t>ברמן</w:t>
      </w:r>
      <w:r w:rsidRPr="00643EF4">
        <w:rPr>
          <w:rFonts w:ascii="Garamond" w:hAnsi="Garamond" w:cs="FrankRuehl" w:hint="cs"/>
          <w:spacing w:val="10"/>
          <w:sz w:val="24"/>
          <w:szCs w:val="28"/>
          <w:rtl/>
        </w:rPr>
        <w:t xml:space="preserve"> (</w:t>
      </w:r>
      <w:r w:rsidRPr="00643EF4">
        <w:rPr>
          <w:rFonts w:ascii="Century" w:hAnsi="Century" w:cs="FrankRuehl"/>
          <w:spacing w:val="10"/>
          <w:sz w:val="22"/>
          <w:szCs w:val="22"/>
        </w:rPr>
        <w:t>Berman v. Parker, 348 U.S. 26 (1954)</w:t>
      </w:r>
      <w:r w:rsidRPr="00643EF4">
        <w:rPr>
          <w:rFonts w:ascii="Century" w:hAnsi="Century" w:cs="FrankRuehl"/>
          <w:spacing w:val="10"/>
          <w:sz w:val="22"/>
          <w:szCs w:val="22"/>
          <w:rtl/>
        </w:rPr>
        <w:t xml:space="preserve"> </w:t>
      </w:r>
      <w:r w:rsidRPr="00643EF4">
        <w:rPr>
          <w:rFonts w:ascii="Garamond" w:hAnsi="Garamond" w:cs="FrankRuehl" w:hint="cs"/>
          <w:spacing w:val="10"/>
          <w:sz w:val="24"/>
          <w:szCs w:val="28"/>
          <w:rtl/>
        </w:rPr>
        <w:t xml:space="preserve">(להלן: עניין </w:t>
      </w:r>
      <w:r w:rsidRPr="00643EF4">
        <w:rPr>
          <w:rFonts w:ascii="Century" w:hAnsi="Century" w:cs="Miriam" w:hint="cs"/>
          <w:b/>
          <w:sz w:val="22"/>
          <w:rtl/>
        </w:rPr>
        <w:t>ברמן</w:t>
      </w:r>
      <w:r w:rsidRPr="00643EF4">
        <w:rPr>
          <w:rFonts w:ascii="Century" w:hAnsi="Century" w:cs="FrankRuehl" w:hint="cs"/>
          <w:spacing w:val="10"/>
          <w:sz w:val="22"/>
          <w:szCs w:val="28"/>
          <w:rtl/>
        </w:rPr>
        <w:t>)</w:t>
      </w:r>
      <w:r w:rsidRPr="00643EF4">
        <w:rPr>
          <w:rFonts w:ascii="Garamond" w:hAnsi="Garamond" w:cs="FrankRuehl" w:hint="cs"/>
          <w:spacing w:val="10"/>
          <w:sz w:val="24"/>
          <w:szCs w:val="28"/>
          <w:rtl/>
        </w:rPr>
        <w:t xml:space="preserve">) אימץ בית המשפט העליון האמריקני את עמדת הקונגרס לפיה אין היתכנות לפיתוח של האזורים הרלוונטיים באותו עניין בהסתמך על יוזמות פרטיות בלבד וללא התערבות שלטונית. </w:t>
      </w:r>
      <w:r w:rsidRPr="00643EF4">
        <w:rPr>
          <w:rFonts w:ascii="Century" w:hAnsi="Century" w:cs="FrankRuehl" w:hint="cs"/>
          <w:spacing w:val="10"/>
          <w:sz w:val="22"/>
          <w:szCs w:val="28"/>
          <w:rtl/>
        </w:rPr>
        <w:t>נפסק, כי הפקעה לצורך "שיקום" ופיתוח שכונות עונה על התנאי לקיומו של צורך ציבורי והודגש כי באותו מקרה קיים צורך ביצירת תכנית כוללת ומקיפה לאזור, שאינה מאפשרת מתן זכות התנגדות אישית לכל בעל מקרקעין על יסוד המצב הקונקרטי של מקרקעיו (</w:t>
      </w:r>
      <w:r w:rsidRPr="00643EF4">
        <w:rPr>
          <w:rFonts w:ascii="Century" w:hAnsi="Century" w:cs="Miriam" w:hint="cs"/>
          <w:b/>
          <w:sz w:val="22"/>
          <w:rtl/>
        </w:rPr>
        <w:t>שם</w:t>
      </w:r>
      <w:r w:rsidRPr="00643EF4">
        <w:rPr>
          <w:rFonts w:ascii="Century" w:hAnsi="Century" w:cs="FrankRuehl" w:hint="cs"/>
          <w:spacing w:val="10"/>
          <w:sz w:val="22"/>
          <w:szCs w:val="28"/>
          <w:rtl/>
        </w:rPr>
        <w:t xml:space="preserve">, בעמ' 35). בעקבות ההחלטה בעניין </w:t>
      </w:r>
      <w:r w:rsidRPr="00643EF4">
        <w:rPr>
          <w:rFonts w:ascii="Century" w:hAnsi="Century" w:cs="Miriam" w:hint="cs"/>
          <w:b/>
          <w:sz w:val="22"/>
          <w:rtl/>
        </w:rPr>
        <w:t>ברמן</w:t>
      </w:r>
      <w:r w:rsidRPr="00643EF4">
        <w:rPr>
          <w:rFonts w:ascii="Century" w:hAnsi="Century" w:cs="FrankRuehl" w:hint="cs"/>
          <w:spacing w:val="10"/>
          <w:sz w:val="22"/>
          <w:szCs w:val="28"/>
          <w:rtl/>
        </w:rPr>
        <w:t>, פונו ויושבו מחדש עד שנת 1980 כשלושה מיליון תושבים אמריקאיים, רובם מקבוצות מיעוט שונות, לשם פיתוח עירוני של שכונות (</w:t>
      </w:r>
      <w:r w:rsidRPr="00643EF4">
        <w:rPr>
          <w:rFonts w:ascii="Century" w:hAnsi="Century" w:cs="Miriam" w:hint="cs"/>
          <w:b/>
          <w:sz w:val="22"/>
          <w:rtl/>
        </w:rPr>
        <w:t>סומין</w:t>
      </w:r>
      <w:r w:rsidRPr="00643EF4">
        <w:rPr>
          <w:rFonts w:ascii="Century" w:hAnsi="Century" w:cs="FrankRuehl" w:hint="cs"/>
          <w:spacing w:val="10"/>
          <w:sz w:val="22"/>
          <w:szCs w:val="28"/>
          <w:rtl/>
        </w:rPr>
        <w:t xml:space="preserve">, בעמ' 45). </w:t>
      </w:r>
      <w:r w:rsidRPr="00643EF4">
        <w:rPr>
          <w:rFonts w:ascii="Garamond" w:hAnsi="Garamond" w:cs="FrankRuehl" w:hint="cs"/>
          <w:spacing w:val="10"/>
          <w:sz w:val="24"/>
          <w:szCs w:val="28"/>
          <w:rtl/>
        </w:rPr>
        <w:t xml:space="preserve">התפיסה הרחבה באשר למונח "צורך ציבורי" אושרה על ידי בית המשפט העליון האמריקני </w:t>
      </w:r>
      <w:r w:rsidRPr="00643EF4">
        <w:rPr>
          <w:rFonts w:ascii="Century" w:hAnsi="Century" w:cs="FrankRuehl" w:hint="eastAsia"/>
          <w:spacing w:val="10"/>
          <w:sz w:val="22"/>
          <w:szCs w:val="28"/>
          <w:rtl/>
        </w:rPr>
        <w:t>בעניין</w:t>
      </w:r>
      <w:r w:rsidRPr="00643EF4">
        <w:rPr>
          <w:rFonts w:ascii="Century" w:hAnsi="Century" w:cs="FrankRuehl"/>
          <w:spacing w:val="10"/>
          <w:sz w:val="22"/>
          <w:szCs w:val="28"/>
          <w:rtl/>
        </w:rPr>
        <w:t xml:space="preserve"> </w:t>
      </w:r>
      <w:r w:rsidRPr="00643EF4">
        <w:rPr>
          <w:rFonts w:ascii="Century" w:hAnsi="Century" w:cs="Miriam" w:hint="eastAsia"/>
          <w:b/>
          <w:sz w:val="22"/>
          <w:rtl/>
        </w:rPr>
        <w:t>הוואי</w:t>
      </w:r>
      <w:r w:rsidRPr="00643EF4">
        <w:rPr>
          <w:rFonts w:ascii="Century" w:hAnsi="Century" w:cs="FrankRuehl"/>
          <w:spacing w:val="10"/>
          <w:sz w:val="22"/>
          <w:szCs w:val="28"/>
          <w:rtl/>
        </w:rPr>
        <w:t xml:space="preserve"> (</w:t>
      </w:r>
      <w:r w:rsidRPr="00643EF4">
        <w:rPr>
          <w:rFonts w:ascii="Century" w:hAnsi="Century" w:cs="FrankRuehl"/>
          <w:spacing w:val="10"/>
          <w:sz w:val="22"/>
          <w:szCs w:val="28"/>
        </w:rPr>
        <w:t>Hawaii Housing Authority v. Midkiff, 467 U.S. 229 (1984)</w:t>
      </w:r>
      <w:r w:rsidRPr="00643EF4">
        <w:rPr>
          <w:rFonts w:ascii="Century" w:hAnsi="Century" w:cs="FrankRuehl"/>
          <w:spacing w:val="10"/>
          <w:sz w:val="22"/>
          <w:szCs w:val="28"/>
          <w:rtl/>
        </w:rPr>
        <w:t xml:space="preserve"> </w:t>
      </w:r>
      <w:r w:rsidRPr="00643EF4">
        <w:rPr>
          <w:rFonts w:ascii="Century" w:hAnsi="Century" w:cs="FrankRuehl" w:hint="cs"/>
          <w:spacing w:val="10"/>
          <w:sz w:val="22"/>
          <w:szCs w:val="28"/>
          <w:rtl/>
        </w:rPr>
        <w:t>(</w:t>
      </w:r>
      <w:r w:rsidRPr="00643EF4">
        <w:rPr>
          <w:rFonts w:ascii="Century" w:hAnsi="Century" w:cs="FrankRuehl" w:hint="eastAsia"/>
          <w:spacing w:val="10"/>
          <w:sz w:val="22"/>
          <w:szCs w:val="28"/>
          <w:rtl/>
        </w:rPr>
        <w:t>להלן</w:t>
      </w:r>
      <w:r w:rsidRPr="00643EF4">
        <w:rPr>
          <w:rFonts w:ascii="Century" w:hAnsi="Century" w:cs="FrankRuehl"/>
          <w:spacing w:val="10"/>
          <w:sz w:val="22"/>
          <w:szCs w:val="28"/>
          <w:rtl/>
        </w:rPr>
        <w:t xml:space="preserve">: </w:t>
      </w:r>
      <w:r w:rsidRPr="00643EF4">
        <w:rPr>
          <w:rFonts w:ascii="Century" w:hAnsi="Century" w:cs="FrankRuehl" w:hint="eastAsia"/>
          <w:spacing w:val="10"/>
          <w:sz w:val="22"/>
          <w:szCs w:val="28"/>
          <w:rtl/>
        </w:rPr>
        <w:t>עניין</w:t>
      </w:r>
      <w:r w:rsidRPr="00643EF4">
        <w:rPr>
          <w:rFonts w:ascii="Century" w:hAnsi="Century" w:cs="FrankRuehl"/>
          <w:spacing w:val="10"/>
          <w:sz w:val="22"/>
          <w:szCs w:val="28"/>
          <w:rtl/>
        </w:rPr>
        <w:t xml:space="preserve"> </w:t>
      </w:r>
      <w:r w:rsidRPr="00643EF4">
        <w:rPr>
          <w:rFonts w:ascii="Century" w:hAnsi="Century" w:cs="Miriam" w:hint="eastAsia"/>
          <w:sz w:val="22"/>
          <w:rtl/>
        </w:rPr>
        <w:t>הוואי</w:t>
      </w:r>
      <w:r w:rsidRPr="00643EF4">
        <w:rPr>
          <w:rFonts w:ascii="Century" w:hAnsi="Century" w:cs="FrankRuehl"/>
          <w:spacing w:val="10"/>
          <w:sz w:val="22"/>
          <w:szCs w:val="28"/>
          <w:rtl/>
        </w:rPr>
        <w:t>)</w:t>
      </w:r>
      <w:r w:rsidRPr="00643EF4">
        <w:rPr>
          <w:rFonts w:ascii="Century" w:hAnsi="Century" w:cs="FrankRuehl" w:hint="cs"/>
          <w:spacing w:val="10"/>
          <w:sz w:val="22"/>
          <w:szCs w:val="28"/>
          <w:rtl/>
        </w:rPr>
        <w:t>)</w:t>
      </w:r>
      <w:r w:rsidRPr="00643EF4">
        <w:rPr>
          <w:rFonts w:ascii="Garamond" w:hAnsi="Garamond" w:cs="FrankRuehl" w:hint="cs"/>
          <w:spacing w:val="10"/>
          <w:sz w:val="24"/>
          <w:szCs w:val="28"/>
          <w:rtl/>
        </w:rPr>
        <w:t xml:space="preserve"> שם נפסק כי העובדה שהמקרקעין ניטלים מבעלות פרטית אחת ומועברים לבעלות פרטית אחרת היא לבדה אינה מובילה למסקנה כי אין מדובר במטרה ציבורית (</w:t>
      </w:r>
      <w:r w:rsidRPr="00643EF4">
        <w:rPr>
          <w:rFonts w:ascii="Century" w:hAnsi="Century" w:cs="Miriam" w:hint="cs"/>
          <w:b/>
          <w:sz w:val="22"/>
          <w:rtl/>
        </w:rPr>
        <w:t>שם</w:t>
      </w:r>
      <w:r w:rsidRPr="00643EF4">
        <w:rPr>
          <w:rFonts w:ascii="Garamond" w:hAnsi="Garamond" w:cs="FrankRuehl" w:hint="cs"/>
          <w:spacing w:val="10"/>
          <w:sz w:val="24"/>
          <w:szCs w:val="28"/>
          <w:rtl/>
        </w:rPr>
        <w:t>, בעמ' 244-243). בית המשפט קבע כי במקרה זה ההפקעה לא בוצעה מתוך מטרה להיטיב עם קבוצה מסוימת של יחידים, אלא כדי להיטיב עם הציבור בכללותו ונועדה להתמודד עם כשלי שוק שונים (</w:t>
      </w:r>
      <w:r w:rsidRPr="00643EF4">
        <w:rPr>
          <w:rFonts w:ascii="Century" w:hAnsi="Century" w:cs="Miriam" w:hint="cs"/>
          <w:b/>
          <w:sz w:val="22"/>
          <w:rtl/>
        </w:rPr>
        <w:t>שם</w:t>
      </w:r>
      <w:r w:rsidRPr="00643EF4">
        <w:rPr>
          <w:rFonts w:ascii="Garamond" w:hAnsi="Garamond" w:cs="FrankRuehl" w:hint="cs"/>
          <w:spacing w:val="10"/>
          <w:sz w:val="24"/>
          <w:szCs w:val="28"/>
          <w:rtl/>
        </w:rPr>
        <w:t>, בעמ' 242-241 ובעמ' 245).</w:t>
      </w:r>
    </w:p>
    <w:p w14:paraId="75864DFE" w14:textId="77777777" w:rsidR="00190218" w:rsidRPr="00643EF4" w:rsidRDefault="00190218" w:rsidP="00190218">
      <w:pPr>
        <w:ind w:firstLine="720"/>
        <w:jc w:val="both"/>
        <w:rPr>
          <w:rtl/>
        </w:rPr>
      </w:pPr>
      <w:r w:rsidRPr="00643EF4">
        <w:rPr>
          <w:rFonts w:hint="cs"/>
        </w:rPr>
        <w:t xml:space="preserve"> </w:t>
      </w:r>
    </w:p>
    <w:p w14:paraId="3C6B0308" w14:textId="1A4B5A36" w:rsidR="00190218" w:rsidRPr="00643EF4" w:rsidRDefault="00190218" w:rsidP="00190218">
      <w:pPr>
        <w:pStyle w:val="Ruller4"/>
      </w:pPr>
      <w:r w:rsidRPr="00643EF4">
        <w:rPr>
          <w:rFonts w:hint="cs"/>
          <w:rtl/>
        </w:rPr>
        <w:t xml:space="preserve">פסק הדין בעניין </w:t>
      </w:r>
      <w:r w:rsidRPr="00643EF4">
        <w:rPr>
          <w:rFonts w:cs="Miriam" w:hint="cs"/>
          <w:b/>
          <w:szCs w:val="24"/>
          <w:rtl/>
        </w:rPr>
        <w:t xml:space="preserve">קילו </w:t>
      </w:r>
      <w:r w:rsidRPr="00643EF4">
        <w:rPr>
          <w:rtl/>
        </w:rPr>
        <w:t>(</w:t>
      </w:r>
      <w:r w:rsidRPr="00643EF4">
        <w:t>Kelo v. City of New London, 545 U.S. 469 (2005)</w:t>
      </w:r>
      <w:r w:rsidRPr="00643EF4">
        <w:rPr>
          <w:rtl/>
        </w:rPr>
        <w:t xml:space="preserve">) </w:t>
      </w:r>
      <w:r w:rsidRPr="00643EF4">
        <w:rPr>
          <w:rFonts w:hint="cs"/>
          <w:rtl/>
        </w:rPr>
        <w:t>(</w:t>
      </w:r>
      <w:r w:rsidRPr="00643EF4">
        <w:rPr>
          <w:rFonts w:hint="eastAsia"/>
          <w:rtl/>
        </w:rPr>
        <w:t>להלן</w:t>
      </w:r>
      <w:r w:rsidRPr="00643EF4">
        <w:rPr>
          <w:rtl/>
        </w:rPr>
        <w:t xml:space="preserve">: </w:t>
      </w:r>
      <w:r w:rsidRPr="00643EF4">
        <w:rPr>
          <w:rFonts w:hint="eastAsia"/>
          <w:rtl/>
        </w:rPr>
        <w:t>עניין</w:t>
      </w:r>
      <w:r w:rsidRPr="00643EF4">
        <w:rPr>
          <w:rFonts w:cs="Miriam"/>
          <w:szCs w:val="24"/>
          <w:rtl/>
        </w:rPr>
        <w:t xml:space="preserve"> </w:t>
      </w:r>
      <w:r w:rsidRPr="00643EF4">
        <w:rPr>
          <w:rFonts w:cs="Miriam" w:hint="eastAsia"/>
          <w:szCs w:val="24"/>
          <w:rtl/>
        </w:rPr>
        <w:t>קילו</w:t>
      </w:r>
      <w:r w:rsidRPr="00643EF4">
        <w:rPr>
          <w:rtl/>
        </w:rPr>
        <w:t>)</w:t>
      </w:r>
      <w:r w:rsidRPr="00643EF4">
        <w:rPr>
          <w:rFonts w:hint="cs"/>
          <w:rtl/>
        </w:rPr>
        <w:t>) הוא אבן דרך נוספת בפרשנות שניתנה על ידי בית המשפט העליון האמריקני למונח "צורך ציבורי", ולגביו ריכזו הצדדים את טיעוניהם</w:t>
      </w:r>
      <w:r w:rsidRPr="00643EF4">
        <w:rPr>
          <w:rtl/>
        </w:rPr>
        <w:t xml:space="preserve">. </w:t>
      </w:r>
      <w:r w:rsidRPr="00643EF4">
        <w:rPr>
          <w:rFonts w:hint="cs"/>
          <w:rtl/>
        </w:rPr>
        <w:t xml:space="preserve">באותו עניין ועל יסוד פסקי הדין בעניין </w:t>
      </w:r>
      <w:r w:rsidRPr="00643EF4">
        <w:rPr>
          <w:rFonts w:cs="Miriam" w:hint="cs"/>
          <w:b/>
          <w:szCs w:val="24"/>
          <w:rtl/>
        </w:rPr>
        <w:t xml:space="preserve">ברמן </w:t>
      </w:r>
      <w:r w:rsidRPr="00643EF4">
        <w:rPr>
          <w:rFonts w:hint="cs"/>
          <w:rtl/>
        </w:rPr>
        <w:t xml:space="preserve">ובעניין </w:t>
      </w:r>
      <w:r w:rsidRPr="00643EF4">
        <w:rPr>
          <w:rFonts w:cs="Miriam" w:hint="cs"/>
          <w:b/>
          <w:szCs w:val="24"/>
          <w:rtl/>
        </w:rPr>
        <w:t>הוואי</w:t>
      </w:r>
      <w:r w:rsidRPr="00643EF4">
        <w:rPr>
          <w:rFonts w:hint="cs"/>
          <w:rtl/>
        </w:rPr>
        <w:t xml:space="preserve">, דחה בית המשפט העליון של ארצות הברית בדעת רוב (של חמישה שופטים מול ארבעה) את הפרשנות ה"צרה" למונח "צורך ציבורי", לפיה צורך כאמור קיים רק אם המקרקעין המופקעים ישמשו באופן פיזי את הציבור הרחב, וקבע כי פיתוח כלכלי מהווה אף הוא צורך ציבורי ראוי לשם הפקעת מקרקעין. עוד נקבע כי ההפקעה בעניין </w:t>
      </w:r>
      <w:r w:rsidRPr="00643EF4">
        <w:rPr>
          <w:rFonts w:cs="Miriam" w:hint="cs"/>
          <w:b/>
          <w:szCs w:val="24"/>
          <w:rtl/>
        </w:rPr>
        <w:t>קילו</w:t>
      </w:r>
      <w:r w:rsidRPr="00643EF4">
        <w:rPr>
          <w:rFonts w:hint="cs"/>
          <w:rtl/>
        </w:rPr>
        <w:t xml:space="preserve"> אינה מיועדת להטיב עם קבוצת אוכלוסייה מסוימת, וקדם לה הליך יסודי ומקיף לאישור התכנית הכלכלית שתיטיב עם העיר (על הביקורת שנמתחה על פסק הדין ותיקוני החקיקה שנערכו בעקבותיו ראו </w:t>
      </w:r>
      <w:r w:rsidRPr="00643EF4">
        <w:rPr>
          <w:rFonts w:cs="Miriam" w:hint="cs"/>
          <w:b/>
          <w:szCs w:val="24"/>
          <w:rtl/>
        </w:rPr>
        <w:t>סומין</w:t>
      </w:r>
      <w:r w:rsidRPr="00643EF4">
        <w:rPr>
          <w:rFonts w:hint="cs"/>
          <w:rtl/>
        </w:rPr>
        <w:t>, בעמ' 53-50</w:t>
      </w:r>
      <w:r w:rsidRPr="00643EF4">
        <w:rPr>
          <w:szCs w:val="22"/>
          <w:rtl/>
        </w:rPr>
        <w:t>;</w:t>
      </w:r>
      <w:r w:rsidRPr="00643EF4">
        <w:rPr>
          <w:smallCaps/>
          <w:szCs w:val="22"/>
        </w:rPr>
        <w:t>U.S. Commission on Civil Rights, The Civil Rights Implications of Eminent Domain Abuse</w:t>
      </w:r>
      <w:r w:rsidRPr="00643EF4">
        <w:rPr>
          <w:szCs w:val="22"/>
        </w:rPr>
        <w:t xml:space="preserve"> iv (2014)</w:t>
      </w:r>
      <w:r w:rsidRPr="00643EF4">
        <w:rPr>
          <w:rFonts w:hint="cs"/>
          <w:rtl/>
        </w:rPr>
        <w:t xml:space="preserve">). </w:t>
      </w:r>
    </w:p>
    <w:p w14:paraId="70602A30" w14:textId="77777777" w:rsidR="00190218" w:rsidRPr="00643EF4" w:rsidRDefault="00190218" w:rsidP="00190218">
      <w:pPr>
        <w:tabs>
          <w:tab w:val="left" w:pos="800"/>
        </w:tabs>
        <w:spacing w:line="360" w:lineRule="auto"/>
        <w:jc w:val="both"/>
        <w:rPr>
          <w:rFonts w:ascii="Century" w:hAnsi="Century" w:cs="FrankRuehl"/>
          <w:spacing w:val="10"/>
          <w:sz w:val="24"/>
          <w:szCs w:val="28"/>
          <w:rtl/>
        </w:rPr>
      </w:pPr>
    </w:p>
    <w:p w14:paraId="343F5CF0" w14:textId="02753A0E" w:rsidR="00190218" w:rsidRPr="00643EF4" w:rsidRDefault="00190218" w:rsidP="00190218">
      <w:pPr>
        <w:pStyle w:val="Ruller4"/>
        <w:rPr>
          <w:rFonts w:ascii="Century" w:hAnsi="Century"/>
          <w:rtl/>
        </w:rPr>
      </w:pPr>
      <w:r w:rsidRPr="00643EF4">
        <w:rPr>
          <w:rFonts w:hint="cs"/>
          <w:rtl/>
        </w:rPr>
        <w:t xml:space="preserve">עיון בפסקי הדין שפורטו מלמד על הבדלים משמעותיים בין המקרים שנדונו בהם ובין ענייננו. </w:t>
      </w:r>
      <w:r w:rsidRPr="00643EF4">
        <w:rPr>
          <w:rFonts w:ascii="Century" w:hAnsi="Century" w:cs="Miriam" w:hint="cs"/>
          <w:b/>
          <w:sz w:val="22"/>
          <w:szCs w:val="24"/>
          <w:rtl/>
        </w:rPr>
        <w:t>ראשית</w:t>
      </w:r>
      <w:r w:rsidRPr="00643EF4">
        <w:rPr>
          <w:rFonts w:hint="cs"/>
          <w:rtl/>
        </w:rPr>
        <w:t xml:space="preserve">, כפי שצוין, בעניין </w:t>
      </w:r>
      <w:r w:rsidRPr="00643EF4">
        <w:rPr>
          <w:rFonts w:ascii="Century" w:hAnsi="Century" w:cs="Miriam" w:hint="cs"/>
          <w:b/>
          <w:sz w:val="22"/>
          <w:szCs w:val="24"/>
          <w:rtl/>
        </w:rPr>
        <w:t>ברמן</w:t>
      </w:r>
      <w:r w:rsidRPr="00643EF4">
        <w:rPr>
          <w:rFonts w:ascii="Century" w:hAnsi="Century" w:hint="cs"/>
          <w:sz w:val="22"/>
          <w:rtl/>
        </w:rPr>
        <w:t>,</w:t>
      </w:r>
      <w:r w:rsidRPr="00643EF4">
        <w:rPr>
          <w:rFonts w:ascii="Century" w:hAnsi="Century" w:cs="Miriam" w:hint="cs"/>
          <w:b/>
          <w:sz w:val="22"/>
          <w:szCs w:val="24"/>
          <w:rtl/>
        </w:rPr>
        <w:t xml:space="preserve"> הוואי </w:t>
      </w:r>
      <w:r w:rsidRPr="00643EF4">
        <w:rPr>
          <w:rFonts w:ascii="Century" w:hAnsi="Century" w:hint="cs"/>
          <w:sz w:val="22"/>
          <w:rtl/>
        </w:rPr>
        <w:t>ו</w:t>
      </w:r>
      <w:r w:rsidRPr="00643EF4">
        <w:rPr>
          <w:rFonts w:ascii="Century" w:hAnsi="Century" w:cs="Miriam" w:hint="cs"/>
          <w:b/>
          <w:sz w:val="22"/>
          <w:szCs w:val="24"/>
          <w:rtl/>
        </w:rPr>
        <w:t>קילו</w:t>
      </w:r>
      <w:r w:rsidRPr="00643EF4">
        <w:rPr>
          <w:rFonts w:ascii="Century" w:hAnsi="Century" w:hint="cs"/>
          <w:sz w:val="22"/>
          <w:rtl/>
        </w:rPr>
        <w:t xml:space="preserve"> </w:t>
      </w:r>
      <w:r w:rsidRPr="00643EF4">
        <w:rPr>
          <w:rFonts w:hint="cs"/>
          <w:rtl/>
        </w:rPr>
        <w:t xml:space="preserve">התכנית או החקיקה הנתקפת לא נועדו להיטיב עם הגורמים הפרטיים אשר להם הוקצו המקרקעין. ההקצאה לגורמים אלה הייתה האמצעי ולא המטרה עצמה של היוזמה הנתקפת. זאת, בשונה מחוק ההסדרה, שאחת ממטרותיו המוצהרות היא להיטיב עם קבוצת אוכלוסייה מסוימת </w:t>
      </w:r>
      <w:r w:rsidRPr="00643EF4">
        <w:rPr>
          <w:rFonts w:hint="cs"/>
          <w:rtl/>
        </w:rPr>
        <w:lastRenderedPageBreak/>
        <w:t xml:space="preserve">וידועה אשר לה יוקצו זכויות השימוש והחזקה במקרקעין. </w:t>
      </w:r>
      <w:r w:rsidRPr="00643EF4">
        <w:rPr>
          <w:rFonts w:ascii="Century" w:hAnsi="Century" w:cs="Miriam" w:hint="cs"/>
          <w:b/>
          <w:sz w:val="22"/>
          <w:szCs w:val="24"/>
          <w:rtl/>
        </w:rPr>
        <w:t>שנית</w:t>
      </w:r>
      <w:r w:rsidRPr="00643EF4">
        <w:rPr>
          <w:rFonts w:hint="cs"/>
          <w:rtl/>
        </w:rPr>
        <w:t xml:space="preserve">, בפסקי הדין האמורים המטרה שביסוד תכנית ההפקעה הייתה השגת יעדים כלכליים וקידום פיתוח עירוני וזה הרקע שעמד בבסיסם. </w:t>
      </w:r>
      <w:r w:rsidRPr="00643EF4">
        <w:rPr>
          <w:rFonts w:hint="eastAsia"/>
          <w:rtl/>
        </w:rPr>
        <w:t>היעדים</w:t>
      </w:r>
      <w:r w:rsidRPr="00643EF4">
        <w:rPr>
          <w:rtl/>
        </w:rPr>
        <w:t xml:space="preserve"> </w:t>
      </w:r>
      <w:r w:rsidRPr="00643EF4">
        <w:rPr>
          <w:rFonts w:hint="cs"/>
          <w:rtl/>
        </w:rPr>
        <w:t>ש</w:t>
      </w:r>
      <w:r w:rsidRPr="00643EF4">
        <w:rPr>
          <w:rFonts w:hint="eastAsia"/>
          <w:rtl/>
        </w:rPr>
        <w:t>אותם</w:t>
      </w:r>
      <w:r w:rsidRPr="00643EF4">
        <w:rPr>
          <w:rtl/>
        </w:rPr>
        <w:t xml:space="preserve"> </w:t>
      </w:r>
      <w:r w:rsidRPr="00643EF4">
        <w:rPr>
          <w:rFonts w:hint="eastAsia"/>
          <w:rtl/>
        </w:rPr>
        <w:t>מבקש</w:t>
      </w:r>
      <w:r w:rsidRPr="00643EF4">
        <w:rPr>
          <w:rtl/>
        </w:rPr>
        <w:t xml:space="preserve"> </w:t>
      </w:r>
      <w:r w:rsidRPr="00643EF4">
        <w:rPr>
          <w:rFonts w:hint="eastAsia"/>
          <w:rtl/>
        </w:rPr>
        <w:t>חוק</w:t>
      </w:r>
      <w:r w:rsidRPr="00643EF4">
        <w:rPr>
          <w:rtl/>
        </w:rPr>
        <w:t xml:space="preserve"> </w:t>
      </w:r>
      <w:r w:rsidRPr="00643EF4">
        <w:rPr>
          <w:rFonts w:hint="eastAsia"/>
          <w:rtl/>
        </w:rPr>
        <w:t>ההסדרה</w:t>
      </w:r>
      <w:r w:rsidRPr="00643EF4">
        <w:rPr>
          <w:rtl/>
        </w:rPr>
        <w:t xml:space="preserve"> </w:t>
      </w:r>
      <w:r w:rsidRPr="00643EF4">
        <w:rPr>
          <w:rFonts w:hint="eastAsia"/>
          <w:rtl/>
        </w:rPr>
        <w:t>להשיג</w:t>
      </w:r>
      <w:r w:rsidRPr="00643EF4">
        <w:rPr>
          <w:rtl/>
        </w:rPr>
        <w:t xml:space="preserve"> </w:t>
      </w:r>
      <w:r w:rsidRPr="00643EF4">
        <w:rPr>
          <w:rFonts w:hint="eastAsia"/>
          <w:rtl/>
        </w:rPr>
        <w:t>שונים</w:t>
      </w:r>
      <w:r w:rsidRPr="00643EF4">
        <w:rPr>
          <w:rFonts w:hint="cs"/>
          <w:rtl/>
        </w:rPr>
        <w:t xml:space="preserve">. חוק ההסדרה ונטילת המקרקעין הכרוכה בו, איננו מהווה חלק מתהליך תכנוני כולל של האזור המיועד לקדם פיתוח ולהשיג יעדים כלכליים לטובת תושבי האזור כולם. </w:t>
      </w:r>
    </w:p>
    <w:p w14:paraId="7DDD336F"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2A0B17C5"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הנה כי כן, הפרשנות המרחיבה של המונח "צורך ציבורי" שהוכרה בפסיקה האמריקאית ואפשרה נטילת מקרקעין מגורם פרטי אחד והעברתם לגורם פרטי אחר, הותנתה בכך שהיא מיועדת להשיג יעדים כלכליים ולקדם פיתוח עירוני לטובת קבוצה בלתי מסוימת של אנשים, ובכללם הגורמים הפרטיים אשר מהם ניטלו המקרקעין, מה שאין כן בחוק ההסדרה.  </w:t>
      </w:r>
    </w:p>
    <w:p w14:paraId="069BB085"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1DCF8A87"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התכלית המערכתית</w:t>
      </w:r>
      <w:r w:rsidRPr="00643EF4">
        <w:rPr>
          <w:rFonts w:ascii="Century" w:hAnsi="Century" w:cs="Miriam"/>
          <w:b/>
          <w:sz w:val="22"/>
          <w:rtl/>
        </w:rPr>
        <w:t xml:space="preserve"> - סיכום</w:t>
      </w:r>
    </w:p>
    <w:p w14:paraId="3E0216F7" w14:textId="77777777" w:rsidR="00190218" w:rsidRPr="00643EF4" w:rsidRDefault="00190218" w:rsidP="00190218">
      <w:pPr>
        <w:tabs>
          <w:tab w:val="left" w:pos="800"/>
        </w:tabs>
        <w:spacing w:line="360" w:lineRule="auto"/>
        <w:jc w:val="both"/>
        <w:rPr>
          <w:rFonts w:ascii="Century" w:hAnsi="Century" w:cs="Miriam"/>
          <w:b/>
          <w:sz w:val="22"/>
        </w:rPr>
      </w:pPr>
    </w:p>
    <w:p w14:paraId="7137C4DD" w14:textId="6BF2D5EB" w:rsidR="00190218" w:rsidRPr="00643EF4" w:rsidRDefault="00190218" w:rsidP="00190218">
      <w:pPr>
        <w:pStyle w:val="Ruller4"/>
      </w:pPr>
      <w:r w:rsidRPr="00643EF4">
        <w:rPr>
          <w:rFonts w:hint="cs"/>
          <w:rtl/>
        </w:rPr>
        <w:t xml:space="preserve">תכליתו של חוק הפוגע בזכויות אדם תיחשב ראויה אם החוק חותר להגשמת ערכים חברתיים חשובים דוגמת שלטון החוק, הנדרשים לצורך קיום מסגרת חברתית המכבדת זכויות אדם. כפי שצוין לעיל, תכלית שעניינה הסדרה בדיעבד של בנייה בלתי חוקית על מקרקעין שאינם רכוש ממשלתי, נדרשת לעבור בהקשר זה שתי משוכות שיצדיקו אותה: זו הנוגעת לנטילה שלטונית כפויה שעליה עמדנו זה עתה וזו הנוגעת לפגיעה בשלטון החוק שעליה עמדנו בראשית הפרק הנוגע לתכלית הנ"ל. </w:t>
      </w:r>
    </w:p>
    <w:p w14:paraId="038848E7"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1E6167B7" w14:textId="0A710588" w:rsidR="00190218" w:rsidRPr="00643EF4" w:rsidRDefault="00190218" w:rsidP="00190218">
      <w:pPr>
        <w:tabs>
          <w:tab w:val="left" w:pos="800"/>
        </w:tabs>
        <w:spacing w:line="360" w:lineRule="auto"/>
        <w:jc w:val="both"/>
        <w:rPr>
          <w:rFonts w:ascii="Arial TUR" w:hAnsi="Arial TUR" w:cs="FrankRuehl"/>
          <w:spacing w:val="10"/>
          <w:sz w:val="22"/>
          <w:szCs w:val="28"/>
          <w:rtl/>
        </w:rPr>
      </w:pPr>
      <w:r w:rsidRPr="00643EF4">
        <w:rPr>
          <w:rFonts w:ascii="Arial TUR" w:hAnsi="Arial TUR" w:cs="FrankRuehl"/>
          <w:spacing w:val="10"/>
          <w:sz w:val="22"/>
          <w:szCs w:val="28"/>
          <w:rtl/>
        </w:rPr>
        <w:tab/>
      </w:r>
      <w:r w:rsidRPr="00643EF4">
        <w:rPr>
          <w:rFonts w:ascii="Arial TUR" w:hAnsi="Arial TUR" w:cs="FrankRuehl" w:hint="cs"/>
          <w:spacing w:val="10"/>
          <w:sz w:val="22"/>
          <w:szCs w:val="28"/>
          <w:rtl/>
        </w:rPr>
        <w:t xml:space="preserve">העיקרון המרכזי בכל הנוגע לנטילה שלטונית כפויה של מקרקעין מידי הפרט הוא שהדבר דרוש לצורך ציבורי. ובמילים אחרות, כפי שהיטיב לבטא זאת </w:t>
      </w:r>
      <w:r w:rsidRPr="00643EF4">
        <w:rPr>
          <w:rFonts w:ascii="Miriam" w:hAnsi="Miriam" w:cs="Miriam"/>
          <w:spacing w:val="10"/>
          <w:sz w:val="22"/>
          <w:rtl/>
        </w:rPr>
        <w:t>דוכן</w:t>
      </w:r>
      <w:r w:rsidRPr="00643EF4">
        <w:rPr>
          <w:rFonts w:ascii="Arial TUR" w:hAnsi="Arial TUR" w:cs="FrankRuehl" w:hint="cs"/>
          <w:spacing w:val="10"/>
          <w:sz w:val="22"/>
          <w:szCs w:val="28"/>
          <w:rtl/>
        </w:rPr>
        <w:t xml:space="preserve">, נדרש "שההפקעה תהיה לצרכי הציבור. כלל יסודי הוא, שאין מפקיעים קרקעות לטובת איש פרטי. ליטול מזה וליתן לזה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אין החוק מתיר" (</w:t>
      </w:r>
      <w:r w:rsidRPr="00643EF4">
        <w:rPr>
          <w:rFonts w:ascii="Arial TUR" w:hAnsi="Arial TUR" w:cs="Miriam" w:hint="cs"/>
          <w:b/>
          <w:sz w:val="22"/>
          <w:rtl/>
        </w:rPr>
        <w:t>שם</w:t>
      </w:r>
      <w:r w:rsidRPr="00643EF4">
        <w:rPr>
          <w:rFonts w:ascii="Arial TUR" w:hAnsi="Arial TUR" w:cs="FrankRuehl" w:hint="cs"/>
          <w:spacing w:val="10"/>
          <w:sz w:val="22"/>
          <w:szCs w:val="28"/>
          <w:rtl/>
        </w:rPr>
        <w:t xml:space="preserve">, בעמ' 347). כעולה מן הסקירה על דרך ההיקש של דיני האזור והדין הישראלי בהקשר זה וכן מן הסקירה ההשוואתית של הדין האמריקאי, גם פרשנות מרחיבה ביותר של המונח "צורך ציבורי" אינה מאפשרת הפקעה דה פקטו של מקרקעין המיועדת להיטיב עם קבוצת אוכלוסייה מסוימת וידועה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המתיישבים הישראלים באזור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בדרך של נטילה שלטונית כפויה מידי קבוצת אוכלוסייה אחרת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תושבי האזור הפלסטינים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בלא שזו צפויה להנות אף היא מתוצאותיה של אותה הנטילה בעתיד. בפרט נכונים הדברים בהינתן העובדה שהנטילה היא מידי תושבי האזור הפלסטינים, שהם כאמור "תושבים מוגנים". מנגנון ההסדרה הקבוע בחוק ככל שהדבר נוגע לנטילה שלטונית כפויה אינו עונה, איפוא, על עקרונות היסוד המוכרים והמקובלים בדיני ההפקעה שאליהם נדרשנו על דרך</w:t>
      </w:r>
      <w:r w:rsidR="00AB0215" w:rsidRPr="00643EF4">
        <w:rPr>
          <w:rFonts w:ascii="Arial TUR" w:hAnsi="Arial TUR" w:cs="FrankRuehl" w:hint="cs"/>
          <w:spacing w:val="10"/>
          <w:sz w:val="22"/>
          <w:szCs w:val="28"/>
          <w:rtl/>
        </w:rPr>
        <w:t xml:space="preserve"> ההשוואה ו</w:t>
      </w:r>
      <w:r w:rsidRPr="00643EF4">
        <w:rPr>
          <w:rFonts w:ascii="Arial TUR" w:hAnsi="Arial TUR" w:cs="FrankRuehl" w:hint="cs"/>
          <w:spacing w:val="10"/>
          <w:sz w:val="22"/>
          <w:szCs w:val="28"/>
          <w:rtl/>
        </w:rPr>
        <w:t>ההיקש.</w:t>
      </w:r>
    </w:p>
    <w:p w14:paraId="19D487E3" w14:textId="77777777" w:rsidR="00190218" w:rsidRPr="00643EF4" w:rsidRDefault="00190218" w:rsidP="00190218">
      <w:pPr>
        <w:tabs>
          <w:tab w:val="left" w:pos="800"/>
        </w:tabs>
        <w:spacing w:line="360" w:lineRule="auto"/>
        <w:jc w:val="both"/>
        <w:rPr>
          <w:rFonts w:ascii="Arial TUR" w:hAnsi="Arial TUR" w:cs="FrankRuehl"/>
          <w:spacing w:val="10"/>
          <w:sz w:val="22"/>
          <w:szCs w:val="28"/>
        </w:rPr>
      </w:pPr>
    </w:p>
    <w:p w14:paraId="096DCFFB" w14:textId="6E5C1618" w:rsidR="00190218" w:rsidRPr="00643EF4" w:rsidRDefault="00190218" w:rsidP="00AB0215">
      <w:pPr>
        <w:tabs>
          <w:tab w:val="left" w:pos="800"/>
        </w:tabs>
        <w:spacing w:line="360" w:lineRule="auto"/>
        <w:jc w:val="both"/>
        <w:rPr>
          <w:rFonts w:ascii="Garamond" w:hAnsi="Garamond" w:cs="FrankRuehl"/>
          <w:spacing w:val="10"/>
          <w:sz w:val="24"/>
          <w:szCs w:val="28"/>
        </w:rPr>
      </w:pPr>
      <w:r w:rsidRPr="00643EF4">
        <w:rPr>
          <w:rFonts w:ascii="Garamond" w:hAnsi="Garamond" w:cs="FrankRuehl"/>
          <w:spacing w:val="10"/>
          <w:sz w:val="24"/>
          <w:szCs w:val="28"/>
          <w:rtl/>
        </w:rPr>
        <w:lastRenderedPageBreak/>
        <w:tab/>
      </w:r>
      <w:r w:rsidR="00AB0215" w:rsidRPr="00643EF4">
        <w:rPr>
          <w:rFonts w:ascii="Garamond" w:hAnsi="Garamond" w:cs="FrankRuehl" w:hint="cs"/>
          <w:spacing w:val="10"/>
          <w:sz w:val="24"/>
          <w:szCs w:val="28"/>
          <w:rtl/>
        </w:rPr>
        <w:t>אשר להיבט הנוגע לקיומה של תכלית המצדיקה פגיעה בשלטון החוק, עמדנו על כך ש</w:t>
      </w:r>
      <w:r w:rsidRPr="00643EF4">
        <w:rPr>
          <w:rFonts w:ascii="Garamond" w:hAnsi="Garamond" w:cs="FrankRuehl" w:hint="cs"/>
          <w:spacing w:val="10"/>
          <w:sz w:val="24"/>
          <w:szCs w:val="28"/>
          <w:rtl/>
        </w:rPr>
        <w:t xml:space="preserve">לשם </w:t>
      </w:r>
      <w:r w:rsidRPr="00643EF4">
        <w:rPr>
          <w:rFonts w:ascii="Garamond" w:hAnsi="Garamond" w:cs="FrankRuehl"/>
          <w:spacing w:val="10"/>
          <w:sz w:val="24"/>
          <w:szCs w:val="28"/>
          <w:rtl/>
        </w:rPr>
        <w:t xml:space="preserve">הכשרה בדיעבד של עבריינות בנייה </w:t>
      </w:r>
      <w:r w:rsidRPr="00643EF4">
        <w:rPr>
          <w:rFonts w:ascii="Garamond" w:hAnsi="Garamond" w:cs="FrankRuehl" w:hint="cs"/>
          <w:spacing w:val="10"/>
          <w:sz w:val="24"/>
          <w:szCs w:val="28"/>
          <w:rtl/>
        </w:rPr>
        <w:t xml:space="preserve">במישור התכנוני </w:t>
      </w:r>
      <w:r w:rsidRPr="00643EF4">
        <w:rPr>
          <w:rFonts w:ascii="Garamond" w:hAnsi="Garamond" w:cs="FrankRuehl"/>
          <w:spacing w:val="10"/>
          <w:sz w:val="24"/>
          <w:szCs w:val="28"/>
          <w:rtl/>
        </w:rPr>
        <w:t xml:space="preserve">יש להצביע על שיקולים שיש בהם כדי להצדיק </w:t>
      </w:r>
      <w:r w:rsidR="00AB0215" w:rsidRPr="00643EF4">
        <w:rPr>
          <w:rFonts w:ascii="Garamond" w:hAnsi="Garamond" w:cs="FrankRuehl" w:hint="cs"/>
          <w:spacing w:val="10"/>
          <w:sz w:val="24"/>
          <w:szCs w:val="28"/>
          <w:rtl/>
        </w:rPr>
        <w:t>אותה</w:t>
      </w:r>
      <w:r w:rsidRPr="00643EF4">
        <w:rPr>
          <w:rFonts w:ascii="Garamond" w:hAnsi="Garamond" w:cs="FrankRuehl"/>
          <w:spacing w:val="10"/>
          <w:sz w:val="24"/>
          <w:szCs w:val="28"/>
          <w:rtl/>
        </w:rPr>
        <w:t>, וביתר שאת כאשר בחלק לא מבוטל מהמקרים מדובר בבני</w:t>
      </w:r>
      <w:r w:rsidRPr="00643EF4">
        <w:rPr>
          <w:rFonts w:ascii="Garamond" w:hAnsi="Garamond" w:cs="FrankRuehl" w:hint="cs"/>
          <w:spacing w:val="10"/>
          <w:sz w:val="24"/>
          <w:szCs w:val="28"/>
          <w:rtl/>
        </w:rPr>
        <w:t>י</w:t>
      </w:r>
      <w:r w:rsidRPr="00643EF4">
        <w:rPr>
          <w:rFonts w:ascii="Garamond" w:hAnsi="Garamond" w:cs="FrankRuehl"/>
          <w:spacing w:val="10"/>
          <w:sz w:val="24"/>
          <w:szCs w:val="28"/>
          <w:rtl/>
        </w:rPr>
        <w:t>ה שבוצעה במקרקעין שהם קניינו של הזולת. זאת, בהינתן הפגיעה הקשה בעיקרון שלטון החוק וב</w:t>
      </w:r>
      <w:r w:rsidRPr="00643EF4">
        <w:rPr>
          <w:rFonts w:ascii="Garamond" w:hAnsi="Garamond" w:cs="FrankRuehl" w:hint="cs"/>
          <w:spacing w:val="10"/>
          <w:sz w:val="24"/>
          <w:szCs w:val="28"/>
          <w:rtl/>
        </w:rPr>
        <w:t>זכות ה</w:t>
      </w:r>
      <w:r w:rsidRPr="00643EF4">
        <w:rPr>
          <w:rFonts w:ascii="Garamond" w:hAnsi="Garamond" w:cs="FrankRuehl"/>
          <w:spacing w:val="10"/>
          <w:sz w:val="24"/>
          <w:szCs w:val="28"/>
          <w:rtl/>
        </w:rPr>
        <w:t xml:space="preserve">קניין הפרטי הכרוכה בכך. </w:t>
      </w:r>
      <w:r w:rsidRPr="00643EF4">
        <w:rPr>
          <w:rFonts w:ascii="Garamond" w:hAnsi="Garamond" w:cs="FrankRuehl" w:hint="cs"/>
          <w:spacing w:val="10"/>
          <w:sz w:val="24"/>
          <w:szCs w:val="28"/>
          <w:rtl/>
        </w:rPr>
        <w:t xml:space="preserve">אכן, </w:t>
      </w:r>
      <w:r w:rsidRPr="00643EF4">
        <w:rPr>
          <w:rFonts w:ascii="Garamond" w:hAnsi="Garamond" w:cs="FrankRuehl"/>
          <w:spacing w:val="10"/>
          <w:sz w:val="24"/>
          <w:szCs w:val="28"/>
          <w:rtl/>
        </w:rPr>
        <w:t xml:space="preserve">ככל שהפגיעה בזכויות גדולה יותר וככל שאי החוקיות </w:t>
      </w:r>
      <w:r w:rsidRPr="00643EF4">
        <w:rPr>
          <w:rFonts w:ascii="Garamond" w:hAnsi="Garamond" w:cs="FrankRuehl" w:hint="cs"/>
          <w:spacing w:val="10"/>
          <w:sz w:val="24"/>
          <w:szCs w:val="28"/>
          <w:rtl/>
        </w:rPr>
        <w:t>ש</w:t>
      </w:r>
      <w:r w:rsidRPr="00643EF4">
        <w:rPr>
          <w:rFonts w:ascii="Garamond" w:hAnsi="Garamond" w:cs="FrankRuehl"/>
          <w:spacing w:val="10"/>
          <w:sz w:val="24"/>
          <w:szCs w:val="28"/>
          <w:rtl/>
        </w:rPr>
        <w:t xml:space="preserve">בה מדובר חמורה יותר, יש ליתן משקל משמעותי יותר לעיקרון שלטון החוק. כיוון שתכלית חוק </w:t>
      </w:r>
      <w:r w:rsidRPr="00643EF4">
        <w:rPr>
          <w:rFonts w:ascii="Garamond" w:hAnsi="Garamond" w:cs="FrankRuehl" w:hint="cs"/>
          <w:spacing w:val="10"/>
          <w:sz w:val="24"/>
          <w:szCs w:val="28"/>
          <w:rtl/>
        </w:rPr>
        <w:t xml:space="preserve">ההסדרה </w:t>
      </w:r>
      <w:r w:rsidRPr="00643EF4">
        <w:rPr>
          <w:rFonts w:ascii="Garamond" w:hAnsi="Garamond" w:cs="FrankRuehl"/>
          <w:spacing w:val="10"/>
          <w:sz w:val="24"/>
          <w:szCs w:val="28"/>
          <w:rtl/>
        </w:rPr>
        <w:t>היא לה</w:t>
      </w:r>
      <w:r w:rsidRPr="00643EF4">
        <w:rPr>
          <w:rFonts w:ascii="Garamond" w:hAnsi="Garamond" w:cs="FrankRuehl" w:hint="cs"/>
          <w:spacing w:val="10"/>
          <w:sz w:val="24"/>
          <w:szCs w:val="28"/>
          <w:rtl/>
        </w:rPr>
        <w:t>כשיר</w:t>
      </w:r>
      <w:r w:rsidRPr="00643EF4">
        <w:rPr>
          <w:rFonts w:ascii="Garamond" w:hAnsi="Garamond" w:cs="FrankRuehl"/>
          <w:spacing w:val="10"/>
          <w:sz w:val="24"/>
          <w:szCs w:val="28"/>
          <w:rtl/>
        </w:rPr>
        <w:t xml:space="preserve"> את ההתיישבות הבלתי חוקית בצורה גורפת, </w:t>
      </w:r>
      <w:r w:rsidRPr="00643EF4">
        <w:rPr>
          <w:rFonts w:ascii="Garamond" w:hAnsi="Garamond" w:cs="FrankRuehl" w:hint="cs"/>
          <w:spacing w:val="10"/>
          <w:sz w:val="24"/>
          <w:szCs w:val="28"/>
          <w:rtl/>
        </w:rPr>
        <w:t>אין מדובר</w:t>
      </w:r>
      <w:r w:rsidRPr="00643EF4">
        <w:rPr>
          <w:rFonts w:ascii="Garamond" w:hAnsi="Garamond" w:cs="FrankRuehl"/>
          <w:spacing w:val="10"/>
          <w:sz w:val="24"/>
          <w:szCs w:val="28"/>
          <w:rtl/>
        </w:rPr>
        <w:t xml:space="preserve"> לטעמי</w:t>
      </w:r>
      <w:r w:rsidRPr="00643EF4">
        <w:rPr>
          <w:rFonts w:ascii="Garamond" w:hAnsi="Garamond" w:cs="FrankRuehl" w:hint="cs"/>
          <w:spacing w:val="10"/>
          <w:sz w:val="24"/>
          <w:szCs w:val="28"/>
          <w:rtl/>
        </w:rPr>
        <w:t xml:space="preserve"> </w:t>
      </w:r>
      <w:r w:rsidRPr="00643EF4">
        <w:rPr>
          <w:rFonts w:ascii="Garamond" w:hAnsi="Garamond" w:cs="FrankRuehl"/>
          <w:spacing w:val="10"/>
          <w:sz w:val="24"/>
          <w:szCs w:val="28"/>
          <w:rtl/>
        </w:rPr>
        <w:t xml:space="preserve">בתכלית ראויה. עם זאת, </w:t>
      </w:r>
      <w:r w:rsidRPr="00643EF4">
        <w:rPr>
          <w:rFonts w:ascii="Garamond" w:hAnsi="Garamond" w:cs="FrankRuehl" w:hint="cs"/>
          <w:spacing w:val="10"/>
          <w:sz w:val="24"/>
          <w:szCs w:val="28"/>
          <w:rtl/>
        </w:rPr>
        <w:t xml:space="preserve">מובנת וברורה היא </w:t>
      </w:r>
      <w:r w:rsidRPr="00643EF4">
        <w:rPr>
          <w:rFonts w:ascii="Garamond" w:hAnsi="Garamond" w:cs="FrankRuehl"/>
          <w:spacing w:val="10"/>
          <w:sz w:val="24"/>
          <w:szCs w:val="28"/>
          <w:rtl/>
        </w:rPr>
        <w:t xml:space="preserve">המצוקה האנושית </w:t>
      </w:r>
      <w:r w:rsidRPr="00643EF4">
        <w:rPr>
          <w:rFonts w:ascii="Garamond" w:hAnsi="Garamond" w:cs="FrankRuehl" w:hint="cs"/>
          <w:spacing w:val="10"/>
          <w:sz w:val="24"/>
          <w:szCs w:val="28"/>
          <w:rtl/>
        </w:rPr>
        <w:t xml:space="preserve">שבה נתון מי </w:t>
      </w:r>
      <w:r w:rsidRPr="00643EF4">
        <w:rPr>
          <w:rFonts w:ascii="Garamond" w:hAnsi="Garamond" w:cs="FrankRuehl"/>
          <w:spacing w:val="10"/>
          <w:sz w:val="24"/>
          <w:szCs w:val="28"/>
          <w:rtl/>
        </w:rPr>
        <w:t>שפעל בתום לב</w:t>
      </w:r>
      <w:r w:rsidRPr="00643EF4">
        <w:rPr>
          <w:rFonts w:ascii="Garamond" w:hAnsi="Garamond" w:cs="FrankRuehl" w:hint="cs"/>
          <w:spacing w:val="10"/>
          <w:sz w:val="24"/>
          <w:szCs w:val="28"/>
          <w:rtl/>
        </w:rPr>
        <w:t xml:space="preserve"> והסתמך על מצגי השלטון</w:t>
      </w:r>
      <w:r w:rsidRPr="00643EF4">
        <w:rPr>
          <w:rFonts w:ascii="Garamond" w:hAnsi="Garamond" w:cs="FrankRuehl"/>
          <w:spacing w:val="10"/>
          <w:sz w:val="24"/>
          <w:szCs w:val="28"/>
          <w:rtl/>
        </w:rPr>
        <w:t xml:space="preserve"> ועתה מוצא עצמו, שלא בטובתו, בעין הסערה. </w:t>
      </w:r>
      <w:r w:rsidRPr="00643EF4">
        <w:rPr>
          <w:rFonts w:ascii="Garamond" w:hAnsi="Garamond" w:cs="FrankRuehl" w:hint="cs"/>
          <w:spacing w:val="10"/>
          <w:sz w:val="24"/>
          <w:szCs w:val="28"/>
          <w:rtl/>
        </w:rPr>
        <w:t>להשלכותיה של מצוקה אנושית זו לעניין התכלית הראויה אתייחס להלן במסגרת הדיון ב</w:t>
      </w:r>
      <w:r w:rsidRPr="00643EF4">
        <w:rPr>
          <w:rFonts w:ascii="Garamond" w:hAnsi="Garamond" w:cs="FrankRuehl"/>
          <w:spacing w:val="10"/>
          <w:sz w:val="24"/>
          <w:szCs w:val="28"/>
          <w:rtl/>
        </w:rPr>
        <w:t xml:space="preserve">תכלית </w:t>
      </w:r>
      <w:r w:rsidRPr="00643EF4">
        <w:rPr>
          <w:rFonts w:ascii="Garamond" w:hAnsi="Garamond" w:cs="FrankRuehl" w:hint="cs"/>
          <w:spacing w:val="10"/>
          <w:sz w:val="24"/>
          <w:szCs w:val="28"/>
          <w:rtl/>
        </w:rPr>
        <w:t>הנוספת של החוק הכרוכה</w:t>
      </w:r>
      <w:r w:rsidRPr="00643EF4">
        <w:rPr>
          <w:rFonts w:ascii="Garamond" w:hAnsi="Garamond" w:cs="FrankRuehl"/>
          <w:spacing w:val="10"/>
          <w:sz w:val="24"/>
          <w:szCs w:val="28"/>
          <w:rtl/>
        </w:rPr>
        <w:t xml:space="preserve"> </w:t>
      </w:r>
      <w:r w:rsidRPr="00643EF4">
        <w:rPr>
          <w:rFonts w:ascii="Garamond" w:hAnsi="Garamond" w:cs="FrankRuehl" w:hint="cs"/>
          <w:spacing w:val="10"/>
          <w:sz w:val="24"/>
          <w:szCs w:val="28"/>
          <w:rtl/>
        </w:rPr>
        <w:t>ו</w:t>
      </w:r>
      <w:r w:rsidRPr="00643EF4">
        <w:rPr>
          <w:rFonts w:ascii="Garamond" w:hAnsi="Garamond" w:cs="FrankRuehl"/>
          <w:spacing w:val="10"/>
          <w:sz w:val="24"/>
          <w:szCs w:val="28"/>
          <w:rtl/>
        </w:rPr>
        <w:t xml:space="preserve">שלובה, כאמור, בתכלית הראשונה </w:t>
      </w:r>
      <w:r w:rsidRPr="00643EF4">
        <w:rPr>
          <w:rFonts w:ascii="Garamond" w:hAnsi="Garamond" w:cs="FrankRuehl" w:hint="cs"/>
          <w:spacing w:val="10"/>
          <w:sz w:val="24"/>
          <w:szCs w:val="28"/>
          <w:rtl/>
        </w:rPr>
        <w:t>ש</w:t>
      </w:r>
      <w:r w:rsidRPr="00643EF4">
        <w:rPr>
          <w:rFonts w:ascii="Garamond" w:hAnsi="Garamond" w:cs="FrankRuehl"/>
          <w:spacing w:val="10"/>
          <w:sz w:val="24"/>
          <w:szCs w:val="28"/>
          <w:rtl/>
        </w:rPr>
        <w:t>עליה עמדנו.</w:t>
      </w:r>
    </w:p>
    <w:p w14:paraId="54D092B8" w14:textId="77777777" w:rsidR="00190218" w:rsidRPr="00643EF4" w:rsidRDefault="00190218" w:rsidP="00190218">
      <w:pPr>
        <w:tabs>
          <w:tab w:val="left" w:pos="800"/>
        </w:tabs>
        <w:spacing w:line="360" w:lineRule="auto"/>
        <w:jc w:val="both"/>
        <w:rPr>
          <w:rFonts w:ascii="Century" w:hAnsi="Century" w:cs="Miriam"/>
          <w:b/>
          <w:sz w:val="22"/>
          <w:rtl/>
        </w:rPr>
      </w:pPr>
    </w:p>
    <w:p w14:paraId="60998212" w14:textId="77777777" w:rsidR="00190218" w:rsidRPr="00643EF4" w:rsidRDefault="00190218" w:rsidP="00190218">
      <w:pPr>
        <w:tabs>
          <w:tab w:val="left" w:pos="800"/>
        </w:tabs>
        <w:spacing w:line="360" w:lineRule="auto"/>
        <w:jc w:val="both"/>
        <w:rPr>
          <w:rFonts w:ascii="Century" w:hAnsi="Century" w:cs="Miriam"/>
          <w:b/>
          <w:sz w:val="22"/>
          <w:rtl/>
        </w:rPr>
      </w:pPr>
      <w:r w:rsidRPr="00643EF4">
        <w:rPr>
          <w:rFonts w:ascii="Century" w:hAnsi="Century" w:cs="Miriam" w:hint="cs"/>
          <w:b/>
          <w:sz w:val="22"/>
          <w:rtl/>
        </w:rPr>
        <w:t xml:space="preserve">(2) התכלית האנושית </w:t>
      </w:r>
    </w:p>
    <w:p w14:paraId="7C1FD596"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6C51CEA8" w14:textId="7D084364" w:rsidR="00190218" w:rsidRPr="00643EF4" w:rsidRDefault="00190218" w:rsidP="00190218">
      <w:pPr>
        <w:pStyle w:val="Ruller4"/>
        <w:rPr>
          <w:rtl/>
        </w:rPr>
      </w:pPr>
      <w:r w:rsidRPr="00643EF4">
        <w:rPr>
          <w:rFonts w:hint="cs"/>
          <w:rtl/>
        </w:rPr>
        <w:t xml:space="preserve">עניינה של תכלית זו ברצון להימנע מהריסה ופינוי של מבני מגורים והתיישבות באזור ולתת מענה למתיישבים שבנו את ביתם באזור בתום לב או בעידוד הרשויות. להבדיל מהתכלית הקודמת, תכלית זו מתמקדת במצוקה ובקשיים שייגרמו למתיישבים עצמם בשל פינוי והריסת ביתם. הממשלה, הכנסת ומועצת מטה בנימין טענו בהקשר זה כי חוק ההסדרה חותר למניעת פינוי ולהבטחת יציבות רגולטורית למתיישבים, אשר בהעדר הסדרה כאמור אינם יודעים מה יילד יום. </w:t>
      </w:r>
    </w:p>
    <w:p w14:paraId="1971E3E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41415C9A" w14:textId="274851F4" w:rsidR="00190218" w:rsidRPr="00643EF4" w:rsidRDefault="00190218" w:rsidP="00190218">
      <w:pPr>
        <w:pStyle w:val="Ruller4"/>
      </w:pPr>
      <w:r w:rsidRPr="00643EF4">
        <w:rPr>
          <w:rFonts w:hint="cs"/>
          <w:rtl/>
        </w:rPr>
        <w:t xml:space="preserve">אכן, הריסת ביתו של אדם ופינויו ממקום מגוריו פוגעים במגוון זכויות אדם ובהן הזכות לכבוד, לחירות ולקניין (עניין </w:t>
      </w:r>
      <w:r w:rsidRPr="00643EF4">
        <w:rPr>
          <w:rFonts w:cs="Miriam" w:hint="cs"/>
          <w:b/>
          <w:szCs w:val="24"/>
          <w:rtl/>
        </w:rPr>
        <w:t>חוף עזה</w:t>
      </w:r>
      <w:r w:rsidRPr="00643EF4">
        <w:rPr>
          <w:rFonts w:hint="cs"/>
          <w:rtl/>
        </w:rPr>
        <w:t xml:space="preserve">, בעמ' 563-562). משכך, אין ספק כי מניעה של הריסת בתים ופינוי משפחות היא תכלית ראויה וכבר נפסק כי זיקתו של אדם למקום מגוריו, על מכלול הקשרים המשפחתיים, הקהילתיים, החברתיים והתעסוקתיים הגלומים בה מהווה אינטרס הראוי להגנה בשיטתנו המשפטית (עניין </w:t>
      </w:r>
      <w:r w:rsidRPr="00643EF4">
        <w:rPr>
          <w:rFonts w:cs="Miriam" w:hint="cs"/>
          <w:b/>
          <w:szCs w:val="24"/>
          <w:rtl/>
        </w:rPr>
        <w:t>זיאדה</w:t>
      </w:r>
      <w:r w:rsidRPr="00643EF4">
        <w:rPr>
          <w:rFonts w:hint="cs"/>
          <w:rtl/>
        </w:rPr>
        <w:t xml:space="preserve">, פסקה 88 לחוות הדעת של המשנה לנשיאה (בדימ') </w:t>
      </w:r>
      <w:r w:rsidRPr="00643EF4">
        <w:rPr>
          <w:rFonts w:cs="Miriam" w:hint="cs"/>
          <w:b/>
          <w:szCs w:val="24"/>
          <w:rtl/>
        </w:rPr>
        <w:t>ס' ג'ובראן</w:t>
      </w:r>
      <w:r w:rsidRPr="00643EF4">
        <w:rPr>
          <w:rFonts w:hint="cs"/>
          <w:rtl/>
        </w:rPr>
        <w:t xml:space="preserve">; רע"א 5817/95 </w:t>
      </w:r>
      <w:r w:rsidRPr="00643EF4">
        <w:rPr>
          <w:rFonts w:cs="Miriam" w:hint="cs"/>
          <w:b/>
          <w:szCs w:val="24"/>
          <w:rtl/>
        </w:rPr>
        <w:t>רוזנברג נ' משרד הבינוי והשיכון</w:t>
      </w:r>
      <w:r w:rsidRPr="00643EF4">
        <w:rPr>
          <w:rFonts w:hint="cs"/>
          <w:rtl/>
        </w:rPr>
        <w:t xml:space="preserve">, פ"ד נ(1) 221, 228 (1995)). יפים לעניין זה הדברים שכתב השופט </w:t>
      </w:r>
      <w:r w:rsidRPr="00643EF4">
        <w:rPr>
          <w:rFonts w:cs="Miriam" w:hint="cs"/>
          <w:b/>
          <w:szCs w:val="24"/>
          <w:rtl/>
        </w:rPr>
        <w:t>א' א' לוי</w:t>
      </w:r>
      <w:r w:rsidRPr="00643EF4">
        <w:rPr>
          <w:rFonts w:hint="cs"/>
          <w:rtl/>
        </w:rPr>
        <w:t xml:space="preserve"> (בדעת מיעוט) בעניין </w:t>
      </w:r>
      <w:r w:rsidRPr="00643EF4">
        <w:rPr>
          <w:rFonts w:cs="Miriam" w:hint="cs"/>
          <w:b/>
          <w:szCs w:val="24"/>
          <w:rtl/>
        </w:rPr>
        <w:t>חוף עזה</w:t>
      </w:r>
      <w:r w:rsidRPr="00643EF4">
        <w:rPr>
          <w:rFonts w:hint="cs"/>
          <w:rtl/>
        </w:rPr>
        <w:t xml:space="preserve">: </w:t>
      </w:r>
    </w:p>
    <w:p w14:paraId="038A5C90"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6E0DA0E7" w14:textId="77777777" w:rsidR="00190218" w:rsidRPr="00643EF4" w:rsidRDefault="00190218" w:rsidP="00190218">
      <w:pPr>
        <w:ind w:left="1642" w:right="1282"/>
        <w:jc w:val="both"/>
        <w:rPr>
          <w:rFonts w:ascii="Arial TUR" w:hAnsi="Arial TUR" w:cs="FrankRuehl"/>
          <w:spacing w:val="10"/>
          <w:sz w:val="22"/>
          <w:szCs w:val="28"/>
        </w:rPr>
      </w:pPr>
      <w:r w:rsidRPr="00643EF4">
        <w:rPr>
          <w:rFonts w:ascii="Arial TUR" w:hAnsi="Arial TUR" w:cs="FrankRuehl" w:hint="cs"/>
          <w:spacing w:val="10"/>
          <w:sz w:val="22"/>
          <w:szCs w:val="28"/>
          <w:rtl/>
        </w:rPr>
        <w:t xml:space="preserve">"פינוי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זאת נדע </w:t>
      </w:r>
      <w:r w:rsidRPr="00643EF4">
        <w:rPr>
          <w:rFonts w:ascii="Arial TUR" w:hAnsi="Arial TUR" w:cs="FrankRuehl"/>
          <w:spacing w:val="10"/>
          <w:sz w:val="22"/>
          <w:szCs w:val="28"/>
          <w:rtl/>
        </w:rPr>
        <w:t>–</w:t>
      </w:r>
      <w:r w:rsidRPr="00643EF4">
        <w:rPr>
          <w:rFonts w:ascii="Arial TUR" w:hAnsi="Arial TUR" w:cs="FrankRuehl" w:hint="cs"/>
          <w:spacing w:val="10"/>
          <w:sz w:val="22"/>
          <w:szCs w:val="28"/>
          <w:rtl/>
        </w:rPr>
        <w:t xml:space="preserve"> אינו רק עקירה מבתים ששימשו קורת גג, ולא מאדמה שעובדה, וגם לא ממפעלים ומאזורי תעשייה שהוקמו בעמל ובממון רב. זהו בראש ובראשונה הרס של מרקם חיים, של אמונה בעקרונות יסוד שלפיהם לכל אדם, באשר הוא, נתונה הזכות לבחור את מקום מגוריו, לבחור את הקהילה שאליה הוא רוצה להשתייך, לבחור את המקום ואת הדרך שבה ימצא את לחמו, </w:t>
      </w:r>
      <w:r w:rsidRPr="00643EF4">
        <w:rPr>
          <w:rFonts w:ascii="Arial TUR" w:hAnsi="Arial TUR" w:cs="FrankRuehl" w:hint="cs"/>
          <w:spacing w:val="10"/>
          <w:sz w:val="22"/>
          <w:szCs w:val="28"/>
          <w:rtl/>
        </w:rPr>
        <w:lastRenderedPageBreak/>
        <w:t>ולהבדיל, גם את המקום שבו יביא את יקיריו למנוחת עולמים וגם את המקום שהוא עצמו מבקש להיטמן בו בבוא שעתו" (</w:t>
      </w:r>
      <w:r w:rsidRPr="00643EF4">
        <w:rPr>
          <w:rFonts w:ascii="Century" w:hAnsi="Century" w:cs="Miriam" w:hint="cs"/>
          <w:b/>
          <w:sz w:val="24"/>
          <w:rtl/>
        </w:rPr>
        <w:t>שם</w:t>
      </w:r>
      <w:r w:rsidRPr="00643EF4">
        <w:rPr>
          <w:rFonts w:ascii="Arial TUR" w:hAnsi="Arial TUR" w:cs="FrankRuehl" w:hint="cs"/>
          <w:spacing w:val="10"/>
          <w:sz w:val="22"/>
          <w:szCs w:val="28"/>
          <w:rtl/>
        </w:rPr>
        <w:t>, בעמ' 754).</w:t>
      </w:r>
    </w:p>
    <w:p w14:paraId="1BE2BEA6" w14:textId="77777777" w:rsidR="00190218" w:rsidRPr="00643EF4" w:rsidRDefault="00190218" w:rsidP="00190218">
      <w:pPr>
        <w:tabs>
          <w:tab w:val="left" w:pos="800"/>
        </w:tabs>
        <w:spacing w:line="360" w:lineRule="auto"/>
        <w:jc w:val="both"/>
        <w:rPr>
          <w:rFonts w:ascii="Century" w:hAnsi="Century" w:cs="FrankRuehl"/>
          <w:spacing w:val="10"/>
          <w:sz w:val="22"/>
          <w:szCs w:val="28"/>
        </w:rPr>
      </w:pPr>
    </w:p>
    <w:p w14:paraId="64B89C2D" w14:textId="67453030" w:rsidR="00190218" w:rsidRPr="00643EF4" w:rsidRDefault="00190218" w:rsidP="00190218">
      <w:pPr>
        <w:pStyle w:val="Ruller4"/>
        <w:rPr>
          <w:rtl/>
        </w:rPr>
      </w:pPr>
      <w:r w:rsidRPr="00643EF4">
        <w:rPr>
          <w:rFonts w:hint="cs"/>
          <w:rtl/>
        </w:rPr>
        <w:t>ואולם, בהינתן עוצמת הפגיעה בשלטון החוק ובזכויות הקניין הכרוכים בהסדר שנקבע בחוק ההסדרה</w:t>
      </w:r>
      <w:r w:rsidRPr="00643EF4">
        <w:rPr>
          <w:rFonts w:ascii="Century" w:hAnsi="Century" w:hint="cs"/>
          <w:sz w:val="22"/>
          <w:rtl/>
        </w:rPr>
        <w:t xml:space="preserve">, נשאלת השאלה </w:t>
      </w:r>
      <w:r w:rsidRPr="00643EF4">
        <w:rPr>
          <w:rFonts w:hint="cs"/>
          <w:rtl/>
        </w:rPr>
        <w:t xml:space="preserve">האם במישור הציבורי הכללי ההסדר הקבוע בחוק והמיועד, בין היתר, ליתן מענה למצוקתם של המתיישבים כאמור, נועד לתכלית ראויה. הממשלה, הכנסת ומועצת מטה בנימין טוענות כי בענייננו התשובה לשאלה זו היא בחיוב, בין היתר, משום שחלק ניכר מן הבנייה בהתיישבות הישראלית באזור שעליה צפוי לחול חוק ההסדרה התבצעה בעידוד או בתמיכה מצד המדינה ורשויותיה השונות, במישרין או בעקיפין, וכן מצד מוסדות שונים שפעלו מטעמה. לפיכך הרשויות וגורמי השלטון נושאים באחריות להיווצרות הבעיה לכתחילה. </w:t>
      </w:r>
    </w:p>
    <w:p w14:paraId="194C5B31"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21532F69" w14:textId="0E7FF750" w:rsidR="00190218" w:rsidRPr="00643EF4" w:rsidRDefault="00190218" w:rsidP="00190218">
      <w:pPr>
        <w:pStyle w:val="Ruller4"/>
        <w:rPr>
          <w:rtl/>
        </w:rPr>
      </w:pPr>
      <w:r w:rsidRPr="00643EF4">
        <w:rPr>
          <w:rFonts w:hint="cs"/>
          <w:rtl/>
        </w:rPr>
        <w:t xml:space="preserve">עידוד ותמיכת המדינה ורשויותיה עשויה להקים לפרט אינטרס הסתמכות הראוי להגנה במשפט המינהלי, בין היתר, כאשר מדובר בהסתמכות בעלת השלכות כלכליות משמעותיות. קיומו של אינטרס הסתמכות במישור המינהלי בהחלט יכול להוות שיקול במישור התכלית הראויה. עם זאת, כדי שאינטרס מסוג זה יהיה ראוי להגנה, על הפרט להראות </w:t>
      </w:r>
      <w:r w:rsidRPr="00643EF4">
        <w:rPr>
          <w:rtl/>
        </w:rPr>
        <w:t>–</w:t>
      </w:r>
      <w:r w:rsidRPr="00643EF4">
        <w:rPr>
          <w:rFonts w:hint="cs"/>
          <w:rtl/>
        </w:rPr>
        <w:t xml:space="preserve"> לצד עצם קיומה של הסתמכות </w:t>
      </w:r>
      <w:r w:rsidRPr="00643EF4">
        <w:rPr>
          <w:rtl/>
        </w:rPr>
        <w:t>–</w:t>
      </w:r>
      <w:r w:rsidRPr="00643EF4">
        <w:rPr>
          <w:rFonts w:hint="cs"/>
          <w:rtl/>
        </w:rPr>
        <w:t xml:space="preserve"> כי היא הייתה סבירה בנסיבות העניין. בהקשר זה נפסק כי ככלל </w:t>
      </w:r>
      <w:r w:rsidRPr="00643EF4">
        <w:rPr>
          <w:rFonts w:hint="cs"/>
          <w:sz w:val="28"/>
          <w:rtl/>
        </w:rPr>
        <w:t>אין להכיר בהסתמכות על מדיניות כללית, ובפרט כזו המעניקה הטבה כלכלית ו</w:t>
      </w:r>
      <w:r w:rsidRPr="00643EF4">
        <w:rPr>
          <w:rFonts w:hint="cs"/>
          <w:rtl/>
        </w:rPr>
        <w:t xml:space="preserve">יש להבחין בין </w:t>
      </w:r>
      <w:r w:rsidRPr="00643EF4">
        <w:rPr>
          <w:rFonts w:hint="cs"/>
          <w:sz w:val="28"/>
          <w:rtl/>
        </w:rPr>
        <w:t xml:space="preserve">טענת הסתמכות על מדיניות לטענה הנוגעת להבטחה שלטונית </w:t>
      </w:r>
      <w:r w:rsidRPr="00643EF4">
        <w:rPr>
          <w:rFonts w:ascii="Century" w:hAnsi="Century" w:hint="eastAsia"/>
          <w:sz w:val="22"/>
          <w:rtl/>
        </w:rPr>
        <w:t>קונקרטית</w:t>
      </w:r>
      <w:r w:rsidRPr="00643EF4">
        <w:rPr>
          <w:rFonts w:ascii="Century" w:hAnsi="Century"/>
          <w:sz w:val="22"/>
          <w:rtl/>
        </w:rPr>
        <w:t xml:space="preserve"> (</w:t>
      </w:r>
      <w:r w:rsidRPr="00643EF4">
        <w:rPr>
          <w:rFonts w:ascii="Century" w:hAnsi="Century" w:hint="eastAsia"/>
          <w:sz w:val="22"/>
          <w:rtl/>
        </w:rPr>
        <w:t>בג</w:t>
      </w:r>
      <w:r w:rsidRPr="00643EF4">
        <w:rPr>
          <w:rFonts w:ascii="Century" w:hAnsi="Century" w:hint="cs"/>
          <w:sz w:val="22"/>
          <w:rtl/>
        </w:rPr>
        <w:t>"</w:t>
      </w:r>
      <w:r w:rsidRPr="00643EF4">
        <w:rPr>
          <w:rFonts w:ascii="Century" w:hAnsi="Century" w:hint="eastAsia"/>
          <w:sz w:val="22"/>
          <w:rtl/>
        </w:rPr>
        <w:t>ץ</w:t>
      </w:r>
      <w:r w:rsidRPr="00643EF4">
        <w:rPr>
          <w:rFonts w:ascii="Century" w:hAnsi="Century"/>
          <w:sz w:val="22"/>
          <w:rtl/>
        </w:rPr>
        <w:t xml:space="preserve"> 6951/17 </w:t>
      </w:r>
      <w:r w:rsidRPr="00643EF4">
        <w:rPr>
          <w:rFonts w:ascii="Century" w:hAnsi="Century" w:cs="Miriam" w:hint="eastAsia"/>
          <w:b/>
          <w:sz w:val="22"/>
          <w:szCs w:val="24"/>
          <w:rtl/>
        </w:rPr>
        <w:t>אפיקי</w:t>
      </w:r>
      <w:r w:rsidRPr="00643EF4">
        <w:rPr>
          <w:rFonts w:ascii="Century" w:hAnsi="Century" w:cs="Miriam"/>
          <w:b/>
          <w:sz w:val="22"/>
          <w:szCs w:val="24"/>
          <w:rtl/>
        </w:rPr>
        <w:t xml:space="preserve"> </w:t>
      </w:r>
      <w:r w:rsidRPr="00643EF4">
        <w:rPr>
          <w:rFonts w:ascii="Century" w:hAnsi="Century" w:cs="Miriam" w:hint="eastAsia"/>
          <w:b/>
          <w:sz w:val="22"/>
          <w:szCs w:val="24"/>
          <w:rtl/>
        </w:rPr>
        <w:t>מים</w:t>
      </w:r>
      <w:r w:rsidRPr="00643EF4">
        <w:rPr>
          <w:rFonts w:ascii="Century" w:hAnsi="Century" w:cs="Miriam"/>
          <w:b/>
          <w:sz w:val="22"/>
          <w:szCs w:val="24"/>
          <w:rtl/>
        </w:rPr>
        <w:t xml:space="preserve"> </w:t>
      </w:r>
      <w:r w:rsidRPr="00643EF4">
        <w:rPr>
          <w:rFonts w:ascii="Century" w:hAnsi="Century" w:cs="Miriam" w:hint="eastAsia"/>
          <w:b/>
          <w:sz w:val="22"/>
          <w:szCs w:val="24"/>
          <w:rtl/>
        </w:rPr>
        <w:t>אגודה</w:t>
      </w:r>
      <w:r w:rsidRPr="00643EF4">
        <w:rPr>
          <w:rFonts w:ascii="Century" w:hAnsi="Century" w:cs="Miriam"/>
          <w:b/>
          <w:sz w:val="22"/>
          <w:szCs w:val="24"/>
          <w:rtl/>
        </w:rPr>
        <w:t xml:space="preserve"> </w:t>
      </w:r>
      <w:r w:rsidRPr="00643EF4">
        <w:rPr>
          <w:rFonts w:ascii="Century" w:hAnsi="Century" w:cs="Miriam" w:hint="eastAsia"/>
          <w:b/>
          <w:sz w:val="22"/>
          <w:szCs w:val="24"/>
          <w:rtl/>
        </w:rPr>
        <w:t>שיתופית</w:t>
      </w:r>
      <w:r w:rsidRPr="00643EF4">
        <w:rPr>
          <w:rFonts w:ascii="Century" w:hAnsi="Century" w:cs="Miriam"/>
          <w:b/>
          <w:sz w:val="22"/>
          <w:szCs w:val="24"/>
          <w:rtl/>
        </w:rPr>
        <w:t xml:space="preserve"> </w:t>
      </w:r>
      <w:r w:rsidRPr="00643EF4">
        <w:rPr>
          <w:rFonts w:ascii="Century" w:hAnsi="Century" w:cs="Miriam" w:hint="eastAsia"/>
          <w:b/>
          <w:sz w:val="22"/>
          <w:szCs w:val="24"/>
          <w:rtl/>
        </w:rPr>
        <w:t>חקלאית</w:t>
      </w:r>
      <w:r w:rsidRPr="00643EF4">
        <w:rPr>
          <w:rFonts w:ascii="Century" w:hAnsi="Century" w:cs="Miriam"/>
          <w:b/>
          <w:sz w:val="22"/>
          <w:szCs w:val="24"/>
          <w:rtl/>
        </w:rPr>
        <w:t xml:space="preserve"> </w:t>
      </w:r>
      <w:r w:rsidRPr="00643EF4">
        <w:rPr>
          <w:rFonts w:ascii="Century" w:hAnsi="Century" w:cs="Miriam" w:hint="eastAsia"/>
          <w:b/>
          <w:sz w:val="22"/>
          <w:szCs w:val="24"/>
          <w:rtl/>
        </w:rPr>
        <w:t>נ</w:t>
      </w:r>
      <w:r w:rsidRPr="00643EF4">
        <w:rPr>
          <w:rFonts w:ascii="Century" w:hAnsi="Century" w:cs="Miriam"/>
          <w:b/>
          <w:sz w:val="22"/>
          <w:szCs w:val="24"/>
          <w:rtl/>
        </w:rPr>
        <w:t xml:space="preserve">' </w:t>
      </w:r>
      <w:r w:rsidRPr="00643EF4">
        <w:rPr>
          <w:rFonts w:ascii="Century" w:hAnsi="Century" w:cs="Miriam" w:hint="eastAsia"/>
          <w:b/>
          <w:sz w:val="22"/>
          <w:szCs w:val="24"/>
          <w:rtl/>
        </w:rPr>
        <w:t>הרשות</w:t>
      </w:r>
      <w:r w:rsidRPr="00643EF4">
        <w:rPr>
          <w:rFonts w:ascii="Century" w:hAnsi="Century" w:cs="Miriam"/>
          <w:b/>
          <w:sz w:val="22"/>
          <w:szCs w:val="24"/>
          <w:rtl/>
        </w:rPr>
        <w:t xml:space="preserve"> </w:t>
      </w:r>
      <w:r w:rsidRPr="00643EF4">
        <w:rPr>
          <w:rFonts w:ascii="Century" w:hAnsi="Century" w:cs="Miriam" w:hint="eastAsia"/>
          <w:b/>
          <w:sz w:val="22"/>
          <w:szCs w:val="24"/>
          <w:rtl/>
        </w:rPr>
        <w:t>הממשלתית</w:t>
      </w:r>
      <w:r w:rsidRPr="00643EF4">
        <w:rPr>
          <w:rFonts w:ascii="Century" w:hAnsi="Century" w:cs="Miriam"/>
          <w:b/>
          <w:sz w:val="22"/>
          <w:szCs w:val="24"/>
          <w:rtl/>
        </w:rPr>
        <w:t xml:space="preserve"> </w:t>
      </w:r>
      <w:r w:rsidRPr="00643EF4">
        <w:rPr>
          <w:rFonts w:ascii="Century" w:hAnsi="Century" w:cs="Miriam" w:hint="eastAsia"/>
          <w:b/>
          <w:sz w:val="22"/>
          <w:szCs w:val="24"/>
          <w:rtl/>
        </w:rPr>
        <w:t>למים</w:t>
      </w:r>
      <w:r w:rsidRPr="00643EF4">
        <w:rPr>
          <w:rFonts w:ascii="Century" w:hAnsi="Century" w:cs="Miriam"/>
          <w:b/>
          <w:sz w:val="22"/>
          <w:szCs w:val="24"/>
          <w:rtl/>
        </w:rPr>
        <w:t xml:space="preserve"> </w:t>
      </w:r>
      <w:r w:rsidRPr="00643EF4">
        <w:rPr>
          <w:rFonts w:ascii="Century" w:hAnsi="Century" w:cs="Miriam" w:hint="eastAsia"/>
          <w:b/>
          <w:sz w:val="22"/>
          <w:szCs w:val="24"/>
          <w:rtl/>
        </w:rPr>
        <w:t>ולביוב</w:t>
      </w:r>
      <w:r w:rsidRPr="00643EF4">
        <w:rPr>
          <w:rFonts w:ascii="Century" w:hAnsi="Century" w:hint="cs"/>
          <w:sz w:val="22"/>
          <w:rtl/>
        </w:rPr>
        <w:t xml:space="preserve">, פסקאות 32-29 (3.4.2019)). </w:t>
      </w:r>
      <w:r w:rsidRPr="00643EF4">
        <w:rPr>
          <w:rFonts w:hint="cs"/>
          <w:rtl/>
        </w:rPr>
        <w:t xml:space="preserve">דברים אחרונים אלה הם בעלי משמעות ניכרת בענייננו. </w:t>
      </w:r>
    </w:p>
    <w:p w14:paraId="0F4E8300" w14:textId="77777777" w:rsidR="00190218" w:rsidRPr="00643EF4" w:rsidRDefault="00190218" w:rsidP="00190218">
      <w:pPr>
        <w:tabs>
          <w:tab w:val="left" w:pos="800"/>
        </w:tabs>
        <w:spacing w:line="360" w:lineRule="auto"/>
        <w:jc w:val="both"/>
        <w:rPr>
          <w:rFonts w:ascii="Arial TUR" w:hAnsi="Arial TUR" w:cs="FrankRuehl"/>
          <w:spacing w:val="10"/>
          <w:sz w:val="22"/>
          <w:szCs w:val="28"/>
        </w:rPr>
      </w:pPr>
    </w:p>
    <w:p w14:paraId="52043EC9" w14:textId="0FDD3234" w:rsidR="00190218" w:rsidRPr="00643EF4" w:rsidRDefault="00190218" w:rsidP="00190218">
      <w:pPr>
        <w:pStyle w:val="Ruller4"/>
        <w:rPr>
          <w:szCs w:val="24"/>
          <w:rtl/>
        </w:rPr>
      </w:pPr>
      <w:r w:rsidRPr="00643EF4">
        <w:rPr>
          <w:rFonts w:hint="cs"/>
          <w:rtl/>
        </w:rPr>
        <w:t xml:space="preserve">אין חולק שהרשויות פעלו בדרכים שונות לעידוד הבנייה ביישובים שחוק ההסדרה נועד לחול עליהם. אך גם אם נצא מהנחה כי המתיישבים הישראלים אכן הסתמכו על התנהלותן זו של הרשויות, נשאלת השאלה האם מדובר בהסתמכות שהיא סבירה בנסיבות העניין. זאת, בייחוד באותם המקרים שבהם מדובר במקרקעין מוסדרים הרשומים על שם בעלים פלסטינים ובהינתן העובדה כי לגבי חלק מן המקרקעין אין בנמצא תכנון תקף. לכך יש להוסיף כי </w:t>
      </w:r>
      <w:r w:rsidRPr="00643EF4">
        <w:rPr>
          <w:rFonts w:ascii="Century" w:hAnsi="Century" w:hint="cs"/>
          <w:sz w:val="22"/>
          <w:rtl/>
        </w:rPr>
        <w:t>התיבה "הסכמת המדינה" הוגדרה בחוק ההסדרה באופן רחב ה</w:t>
      </w:r>
      <w:r w:rsidRPr="00643EF4">
        <w:rPr>
          <w:rFonts w:hint="cs"/>
          <w:rtl/>
        </w:rPr>
        <w:t>מתייחס גם לפעולותיהם של גופים שאינם חלק מרשויות השלטון המרכזי ובהם רשויות מקומיות ומועצות אזוריות, וכן היא כוללת הסכמה משתמעת והסכמה בדיעבד. הפועל היוצא מכך הוא שהחוק עשוי לחול גם על בנייה שנעשתה ש</w:t>
      </w:r>
      <w:r w:rsidRPr="00643EF4">
        <w:rPr>
          <w:rFonts w:ascii="Century" w:hAnsi="Century" w:cs="Miriam" w:hint="cs"/>
          <w:b/>
          <w:sz w:val="22"/>
          <w:szCs w:val="24"/>
          <w:rtl/>
        </w:rPr>
        <w:t>לא בתום לב</w:t>
      </w:r>
      <w:r w:rsidRPr="00643EF4">
        <w:rPr>
          <w:rFonts w:hint="cs"/>
          <w:rtl/>
        </w:rPr>
        <w:t xml:space="preserve"> על ידי המתיישב ודי בכך שהיא נעשתה בהסכמת גופים שונים אפילו אם אלה פעלו בניגוד לדין ותמכו בבנייה בלתי חוקית בניגוד לעמדת רשויות האזור או הממשלה (השוו ל</w:t>
      </w:r>
      <w:r w:rsidRPr="00643EF4">
        <w:rPr>
          <w:rFonts w:ascii="Century" w:hAnsi="Century" w:cs="Miriam" w:hint="cs"/>
          <w:b/>
          <w:sz w:val="22"/>
          <w:szCs w:val="24"/>
          <w:rtl/>
        </w:rPr>
        <w:t>דו"ח שנתי 56א</w:t>
      </w:r>
      <w:r w:rsidRPr="00643EF4">
        <w:rPr>
          <w:rFonts w:ascii="Century" w:hAnsi="Century" w:hint="cs"/>
          <w:sz w:val="22"/>
          <w:rtl/>
        </w:rPr>
        <w:t>, בעמ' 216</w:t>
      </w:r>
      <w:r w:rsidRPr="00643EF4">
        <w:rPr>
          <w:rFonts w:hint="cs"/>
          <w:rtl/>
        </w:rPr>
        <w:t xml:space="preserve">). </w:t>
      </w:r>
      <w:r w:rsidRPr="00643EF4">
        <w:rPr>
          <w:rFonts w:hint="eastAsia"/>
          <w:rtl/>
        </w:rPr>
        <w:t>עוד</w:t>
      </w:r>
      <w:r w:rsidRPr="00643EF4">
        <w:rPr>
          <w:rtl/>
        </w:rPr>
        <w:t xml:space="preserve"> </w:t>
      </w:r>
      <w:r w:rsidRPr="00643EF4">
        <w:rPr>
          <w:rFonts w:hint="eastAsia"/>
          <w:rtl/>
        </w:rPr>
        <w:t>יש</w:t>
      </w:r>
      <w:r w:rsidRPr="00643EF4">
        <w:rPr>
          <w:rtl/>
        </w:rPr>
        <w:t xml:space="preserve"> </w:t>
      </w:r>
      <w:r w:rsidRPr="00643EF4">
        <w:rPr>
          <w:rFonts w:hint="eastAsia"/>
          <w:rtl/>
        </w:rPr>
        <w:t>להוסיף</w:t>
      </w:r>
      <w:r w:rsidRPr="00643EF4">
        <w:rPr>
          <w:rtl/>
        </w:rPr>
        <w:t xml:space="preserve"> </w:t>
      </w:r>
      <w:r w:rsidRPr="00643EF4">
        <w:rPr>
          <w:rFonts w:hint="eastAsia"/>
          <w:rtl/>
        </w:rPr>
        <w:t>כי</w:t>
      </w:r>
      <w:r w:rsidRPr="00643EF4">
        <w:rPr>
          <w:rtl/>
        </w:rPr>
        <w:t xml:space="preserve"> </w:t>
      </w:r>
      <w:r w:rsidRPr="00643EF4">
        <w:rPr>
          <w:rFonts w:hint="eastAsia"/>
          <w:rtl/>
        </w:rPr>
        <w:t>החוק</w:t>
      </w:r>
      <w:r w:rsidRPr="00643EF4">
        <w:rPr>
          <w:rtl/>
        </w:rPr>
        <w:t xml:space="preserve"> </w:t>
      </w:r>
      <w:r w:rsidRPr="00643EF4">
        <w:rPr>
          <w:rFonts w:hint="eastAsia"/>
          <w:rtl/>
        </w:rPr>
        <w:t>לפי</w:t>
      </w:r>
      <w:r w:rsidRPr="00643EF4">
        <w:rPr>
          <w:rtl/>
        </w:rPr>
        <w:t xml:space="preserve"> </w:t>
      </w:r>
      <w:r w:rsidRPr="00643EF4">
        <w:rPr>
          <w:rFonts w:hint="eastAsia"/>
          <w:rtl/>
        </w:rPr>
        <w:t>נוסחו</w:t>
      </w:r>
      <w:r w:rsidRPr="00643EF4">
        <w:rPr>
          <w:rtl/>
        </w:rPr>
        <w:t xml:space="preserve"> </w:t>
      </w:r>
      <w:r w:rsidRPr="00643EF4">
        <w:rPr>
          <w:rFonts w:hint="eastAsia"/>
          <w:rtl/>
        </w:rPr>
        <w:t>חל</w:t>
      </w:r>
      <w:r w:rsidRPr="00643EF4">
        <w:rPr>
          <w:rtl/>
        </w:rPr>
        <w:t xml:space="preserve"> </w:t>
      </w:r>
      <w:r w:rsidRPr="00643EF4">
        <w:rPr>
          <w:rFonts w:hint="eastAsia"/>
          <w:rtl/>
        </w:rPr>
        <w:t>על</w:t>
      </w:r>
      <w:r w:rsidRPr="00643EF4">
        <w:rPr>
          <w:rtl/>
        </w:rPr>
        <w:t xml:space="preserve"> </w:t>
      </w:r>
      <w:r w:rsidRPr="00643EF4">
        <w:rPr>
          <w:rFonts w:hint="eastAsia"/>
          <w:rtl/>
        </w:rPr>
        <w:t>התיישבות</w:t>
      </w:r>
      <w:r w:rsidRPr="00643EF4">
        <w:rPr>
          <w:rtl/>
        </w:rPr>
        <w:t xml:space="preserve"> </w:t>
      </w:r>
      <w:r w:rsidRPr="00643EF4">
        <w:rPr>
          <w:rFonts w:hint="eastAsia"/>
          <w:rtl/>
        </w:rPr>
        <w:lastRenderedPageBreak/>
        <w:t>כהגדרתה</w:t>
      </w:r>
      <w:r w:rsidRPr="00643EF4">
        <w:rPr>
          <w:rtl/>
        </w:rPr>
        <w:t xml:space="preserve"> </w:t>
      </w:r>
      <w:r w:rsidRPr="00643EF4">
        <w:rPr>
          <w:rFonts w:hint="eastAsia"/>
          <w:rtl/>
        </w:rPr>
        <w:t>בסעיף</w:t>
      </w:r>
      <w:r w:rsidRPr="00643EF4">
        <w:rPr>
          <w:rtl/>
        </w:rPr>
        <w:t xml:space="preserve"> 2, </w:t>
      </w:r>
      <w:r w:rsidRPr="00643EF4">
        <w:rPr>
          <w:rFonts w:hint="eastAsia"/>
          <w:rtl/>
        </w:rPr>
        <w:t>דהיינו</w:t>
      </w:r>
      <w:r w:rsidRPr="00643EF4">
        <w:rPr>
          <w:rtl/>
        </w:rPr>
        <w:t xml:space="preserve"> </w:t>
      </w:r>
      <w:r w:rsidRPr="00643EF4">
        <w:rPr>
          <w:rFonts w:hint="eastAsia"/>
          <w:rtl/>
        </w:rPr>
        <w:t>על</w:t>
      </w:r>
      <w:r w:rsidRPr="00643EF4">
        <w:rPr>
          <w:rtl/>
        </w:rPr>
        <w:t xml:space="preserve"> </w:t>
      </w:r>
      <w:r w:rsidRPr="00643EF4">
        <w:rPr>
          <w:rFonts w:ascii="Century" w:hAnsi="Century" w:hint="eastAsia"/>
          <w:rtl/>
        </w:rPr>
        <w:t>כל</w:t>
      </w:r>
      <w:r w:rsidRPr="00643EF4">
        <w:rPr>
          <w:rFonts w:ascii="Century" w:hAnsi="Century"/>
          <w:rtl/>
        </w:rPr>
        <w:t xml:space="preserve"> </w:t>
      </w:r>
      <w:r w:rsidRPr="00643EF4">
        <w:rPr>
          <w:rFonts w:ascii="Century" w:hAnsi="Century" w:hint="eastAsia"/>
          <w:rtl/>
        </w:rPr>
        <w:t>בנייה</w:t>
      </w:r>
      <w:r w:rsidRPr="00643EF4">
        <w:rPr>
          <w:rFonts w:ascii="Century" w:hAnsi="Century"/>
          <w:rtl/>
        </w:rPr>
        <w:t xml:space="preserve"> </w:t>
      </w:r>
      <w:r w:rsidRPr="00643EF4">
        <w:rPr>
          <w:rFonts w:ascii="Century" w:hAnsi="Century" w:hint="eastAsia"/>
          <w:rtl/>
        </w:rPr>
        <w:t>המתבצעת</w:t>
      </w:r>
      <w:r w:rsidRPr="00643EF4">
        <w:rPr>
          <w:rFonts w:ascii="Century" w:hAnsi="Century"/>
          <w:rtl/>
        </w:rPr>
        <w:t xml:space="preserve"> </w:t>
      </w:r>
      <w:r w:rsidRPr="00643EF4">
        <w:rPr>
          <w:rFonts w:ascii="Century" w:hAnsi="Century" w:hint="eastAsia"/>
          <w:rtl/>
        </w:rPr>
        <w:t>ב</w:t>
      </w:r>
      <w:r w:rsidRPr="00643EF4">
        <w:rPr>
          <w:rFonts w:ascii="Century" w:hAnsi="Century"/>
          <w:rtl/>
        </w:rPr>
        <w:t>"</w:t>
      </w:r>
      <w:r w:rsidRPr="00643EF4">
        <w:rPr>
          <w:rFonts w:hint="eastAsia"/>
          <w:rtl/>
        </w:rPr>
        <w:t>שכונה</w:t>
      </w:r>
      <w:r w:rsidRPr="00643EF4">
        <w:rPr>
          <w:rtl/>
        </w:rPr>
        <w:t xml:space="preserve"> </w:t>
      </w:r>
      <w:r w:rsidRPr="00643EF4">
        <w:rPr>
          <w:rFonts w:hint="eastAsia"/>
          <w:rtl/>
        </w:rPr>
        <w:t>או</w:t>
      </w:r>
      <w:r w:rsidRPr="00643EF4">
        <w:rPr>
          <w:rtl/>
        </w:rPr>
        <w:t xml:space="preserve"> </w:t>
      </w:r>
      <w:r w:rsidRPr="00643EF4">
        <w:rPr>
          <w:rFonts w:hint="eastAsia"/>
          <w:rtl/>
        </w:rPr>
        <w:t>הרחבה</w:t>
      </w:r>
      <w:r w:rsidRPr="00643EF4">
        <w:rPr>
          <w:rtl/>
        </w:rPr>
        <w:t xml:space="preserve"> </w:t>
      </w:r>
      <w:r w:rsidRPr="00643EF4">
        <w:rPr>
          <w:rFonts w:hint="eastAsia"/>
          <w:rtl/>
        </w:rPr>
        <w:t>של</w:t>
      </w:r>
      <w:r w:rsidRPr="00643EF4">
        <w:rPr>
          <w:rtl/>
        </w:rPr>
        <w:t xml:space="preserve"> </w:t>
      </w:r>
      <w:r w:rsidRPr="00643EF4">
        <w:rPr>
          <w:rFonts w:hint="eastAsia"/>
          <w:rtl/>
        </w:rPr>
        <w:t>אותה</w:t>
      </w:r>
      <w:r w:rsidRPr="00643EF4">
        <w:rPr>
          <w:rtl/>
        </w:rPr>
        <w:t xml:space="preserve"> </w:t>
      </w:r>
      <w:r w:rsidRPr="00643EF4">
        <w:rPr>
          <w:rFonts w:hint="eastAsia"/>
          <w:rtl/>
        </w:rPr>
        <w:t>התיישבות</w:t>
      </w:r>
      <w:r w:rsidRPr="00643EF4">
        <w:rPr>
          <w:rtl/>
        </w:rPr>
        <w:t xml:space="preserve">, </w:t>
      </w:r>
      <w:r w:rsidRPr="00643EF4">
        <w:rPr>
          <w:rFonts w:hint="eastAsia"/>
          <w:rtl/>
        </w:rPr>
        <w:t>כלל</w:t>
      </w:r>
      <w:r w:rsidRPr="00643EF4">
        <w:rPr>
          <w:rtl/>
        </w:rPr>
        <w:t xml:space="preserve"> </w:t>
      </w:r>
      <w:r w:rsidRPr="00643EF4">
        <w:rPr>
          <w:rFonts w:hint="eastAsia"/>
          <w:rtl/>
        </w:rPr>
        <w:t>בתי</w:t>
      </w:r>
      <w:r w:rsidRPr="00643EF4">
        <w:rPr>
          <w:rtl/>
        </w:rPr>
        <w:t xml:space="preserve"> </w:t>
      </w:r>
      <w:r w:rsidRPr="00643EF4">
        <w:rPr>
          <w:rFonts w:hint="eastAsia"/>
          <w:rtl/>
        </w:rPr>
        <w:t>המגורים</w:t>
      </w:r>
      <w:r w:rsidRPr="00643EF4">
        <w:rPr>
          <w:rtl/>
        </w:rPr>
        <w:t xml:space="preserve"> </w:t>
      </w:r>
      <w:r w:rsidRPr="00643EF4">
        <w:rPr>
          <w:rFonts w:hint="eastAsia"/>
          <w:rtl/>
        </w:rPr>
        <w:t>שבה</w:t>
      </w:r>
      <w:r w:rsidRPr="00643EF4">
        <w:rPr>
          <w:rtl/>
        </w:rPr>
        <w:t xml:space="preserve">, </w:t>
      </w:r>
      <w:r w:rsidRPr="00643EF4">
        <w:rPr>
          <w:rFonts w:hint="eastAsia"/>
          <w:rtl/>
        </w:rPr>
        <w:t>המיתקנים</w:t>
      </w:r>
      <w:r w:rsidRPr="00643EF4">
        <w:rPr>
          <w:rtl/>
        </w:rPr>
        <w:t xml:space="preserve">, </w:t>
      </w:r>
      <w:r w:rsidRPr="00643EF4">
        <w:rPr>
          <w:rFonts w:hint="eastAsia"/>
          <w:rtl/>
        </w:rPr>
        <w:t>השטחים</w:t>
      </w:r>
      <w:r w:rsidRPr="00643EF4">
        <w:rPr>
          <w:rtl/>
        </w:rPr>
        <w:t xml:space="preserve"> </w:t>
      </w:r>
      <w:r w:rsidRPr="00643EF4">
        <w:rPr>
          <w:rFonts w:hint="eastAsia"/>
          <w:rtl/>
        </w:rPr>
        <w:t>החקלאיים</w:t>
      </w:r>
      <w:r w:rsidRPr="00643EF4">
        <w:rPr>
          <w:rtl/>
        </w:rPr>
        <w:t xml:space="preserve"> </w:t>
      </w:r>
      <w:r w:rsidRPr="00643EF4">
        <w:rPr>
          <w:rFonts w:hint="eastAsia"/>
          <w:rtl/>
        </w:rPr>
        <w:t>המשמשים</w:t>
      </w:r>
      <w:r w:rsidRPr="00643EF4">
        <w:rPr>
          <w:rtl/>
        </w:rPr>
        <w:t xml:space="preserve"> </w:t>
      </w:r>
      <w:r w:rsidRPr="00643EF4">
        <w:rPr>
          <w:rFonts w:hint="eastAsia"/>
          <w:rtl/>
        </w:rPr>
        <w:t>לצורכה</w:t>
      </w:r>
      <w:r w:rsidRPr="00643EF4">
        <w:rPr>
          <w:rtl/>
        </w:rPr>
        <w:t xml:space="preserve">, </w:t>
      </w:r>
      <w:r w:rsidRPr="00643EF4">
        <w:rPr>
          <w:rFonts w:hint="eastAsia"/>
          <w:rtl/>
        </w:rPr>
        <w:t>מבני</w:t>
      </w:r>
      <w:r w:rsidRPr="00643EF4">
        <w:rPr>
          <w:rtl/>
        </w:rPr>
        <w:t xml:space="preserve"> </w:t>
      </w:r>
      <w:r w:rsidRPr="00643EF4">
        <w:rPr>
          <w:rFonts w:hint="eastAsia"/>
          <w:rtl/>
        </w:rPr>
        <w:t>ציבור</w:t>
      </w:r>
      <w:r w:rsidRPr="00643EF4">
        <w:rPr>
          <w:rtl/>
        </w:rPr>
        <w:t xml:space="preserve">, </w:t>
      </w:r>
      <w:r w:rsidRPr="00643EF4">
        <w:rPr>
          <w:rFonts w:hint="eastAsia"/>
          <w:rtl/>
        </w:rPr>
        <w:t>אמצעי</w:t>
      </w:r>
      <w:r w:rsidRPr="00643EF4">
        <w:rPr>
          <w:rtl/>
        </w:rPr>
        <w:t xml:space="preserve"> </w:t>
      </w:r>
      <w:r w:rsidRPr="00643EF4">
        <w:rPr>
          <w:rFonts w:hint="eastAsia"/>
          <w:rtl/>
        </w:rPr>
        <w:t>ייצור</w:t>
      </w:r>
      <w:r w:rsidRPr="00643EF4">
        <w:rPr>
          <w:rtl/>
        </w:rPr>
        <w:t xml:space="preserve">, </w:t>
      </w:r>
      <w:r w:rsidRPr="00643EF4">
        <w:rPr>
          <w:rFonts w:hint="eastAsia"/>
          <w:rtl/>
        </w:rPr>
        <w:t>וכן</w:t>
      </w:r>
      <w:r w:rsidRPr="00643EF4">
        <w:rPr>
          <w:rtl/>
        </w:rPr>
        <w:t xml:space="preserve"> </w:t>
      </w:r>
      <w:r w:rsidRPr="00643EF4">
        <w:rPr>
          <w:rFonts w:hint="eastAsia"/>
          <w:rtl/>
        </w:rPr>
        <w:t>דרכי</w:t>
      </w:r>
      <w:r w:rsidRPr="00643EF4">
        <w:rPr>
          <w:rtl/>
        </w:rPr>
        <w:t xml:space="preserve"> </w:t>
      </w:r>
      <w:r w:rsidRPr="00643EF4">
        <w:rPr>
          <w:rFonts w:hint="eastAsia"/>
          <w:rtl/>
        </w:rPr>
        <w:t>גישה</w:t>
      </w:r>
      <w:r w:rsidRPr="00643EF4">
        <w:rPr>
          <w:rtl/>
        </w:rPr>
        <w:t xml:space="preserve"> </w:t>
      </w:r>
      <w:r w:rsidRPr="00643EF4">
        <w:rPr>
          <w:rFonts w:hint="eastAsia"/>
          <w:rtl/>
        </w:rPr>
        <w:t>ותשתיות</w:t>
      </w:r>
      <w:r w:rsidRPr="00643EF4">
        <w:rPr>
          <w:rtl/>
        </w:rPr>
        <w:t xml:space="preserve"> </w:t>
      </w:r>
      <w:r w:rsidRPr="00643EF4">
        <w:rPr>
          <w:rFonts w:hint="eastAsia"/>
          <w:rtl/>
        </w:rPr>
        <w:t>מים</w:t>
      </w:r>
      <w:r w:rsidRPr="00643EF4">
        <w:rPr>
          <w:rtl/>
        </w:rPr>
        <w:t xml:space="preserve">, </w:t>
      </w:r>
      <w:r w:rsidRPr="00643EF4">
        <w:rPr>
          <w:rFonts w:hint="eastAsia"/>
          <w:rtl/>
        </w:rPr>
        <w:t>תקשורת</w:t>
      </w:r>
      <w:r w:rsidRPr="00643EF4">
        <w:rPr>
          <w:rtl/>
        </w:rPr>
        <w:t xml:space="preserve">, </w:t>
      </w:r>
      <w:r w:rsidRPr="00643EF4">
        <w:rPr>
          <w:rFonts w:hint="eastAsia"/>
          <w:rtl/>
        </w:rPr>
        <w:t>חשמל</w:t>
      </w:r>
      <w:r w:rsidRPr="00643EF4">
        <w:rPr>
          <w:rtl/>
        </w:rPr>
        <w:t xml:space="preserve"> </w:t>
      </w:r>
      <w:r w:rsidRPr="00643EF4">
        <w:rPr>
          <w:rFonts w:hint="eastAsia"/>
          <w:rtl/>
        </w:rPr>
        <w:t>וביוב</w:t>
      </w:r>
      <w:r w:rsidRPr="00643EF4">
        <w:rPr>
          <w:rtl/>
        </w:rPr>
        <w:t xml:space="preserve">". </w:t>
      </w:r>
      <w:r w:rsidRPr="00643EF4">
        <w:rPr>
          <w:rFonts w:hint="eastAsia"/>
          <w:rtl/>
        </w:rPr>
        <w:t>העובדה</w:t>
      </w:r>
      <w:r w:rsidRPr="00643EF4">
        <w:rPr>
          <w:rtl/>
        </w:rPr>
        <w:t xml:space="preserve"> </w:t>
      </w:r>
      <w:r w:rsidRPr="00643EF4">
        <w:rPr>
          <w:rFonts w:hint="eastAsia"/>
          <w:rtl/>
        </w:rPr>
        <w:t>כי</w:t>
      </w:r>
      <w:r w:rsidRPr="00643EF4">
        <w:rPr>
          <w:rtl/>
        </w:rPr>
        <w:t xml:space="preserve"> </w:t>
      </w:r>
      <w:r w:rsidRPr="00643EF4">
        <w:rPr>
          <w:rFonts w:hint="eastAsia"/>
          <w:rtl/>
        </w:rPr>
        <w:t>מוטת</w:t>
      </w:r>
      <w:r w:rsidRPr="00643EF4">
        <w:rPr>
          <w:rtl/>
        </w:rPr>
        <w:t xml:space="preserve"> </w:t>
      </w:r>
      <w:r w:rsidRPr="00643EF4">
        <w:rPr>
          <w:rFonts w:hint="eastAsia"/>
          <w:rtl/>
        </w:rPr>
        <w:t>כנפי</w:t>
      </w:r>
      <w:r w:rsidRPr="00643EF4">
        <w:rPr>
          <w:rtl/>
        </w:rPr>
        <w:t xml:space="preserve"> </w:t>
      </w:r>
      <w:r w:rsidRPr="00643EF4">
        <w:rPr>
          <w:rFonts w:hint="eastAsia"/>
          <w:rtl/>
        </w:rPr>
        <w:t>ההסדרה</w:t>
      </w:r>
      <w:r w:rsidRPr="00643EF4">
        <w:rPr>
          <w:rtl/>
        </w:rPr>
        <w:t xml:space="preserve"> </w:t>
      </w:r>
      <w:r w:rsidRPr="00643EF4">
        <w:rPr>
          <w:rFonts w:hint="eastAsia"/>
          <w:rtl/>
        </w:rPr>
        <w:t>על</w:t>
      </w:r>
      <w:r w:rsidRPr="00643EF4">
        <w:rPr>
          <w:rtl/>
        </w:rPr>
        <w:t xml:space="preserve"> </w:t>
      </w:r>
      <w:r w:rsidRPr="00643EF4">
        <w:rPr>
          <w:rFonts w:hint="eastAsia"/>
          <w:rtl/>
        </w:rPr>
        <w:t>פי</w:t>
      </w:r>
      <w:r w:rsidRPr="00643EF4">
        <w:rPr>
          <w:rtl/>
        </w:rPr>
        <w:t xml:space="preserve"> </w:t>
      </w:r>
      <w:r w:rsidRPr="00643EF4">
        <w:rPr>
          <w:rFonts w:hint="eastAsia"/>
          <w:rtl/>
        </w:rPr>
        <w:t>החוק</w:t>
      </w:r>
      <w:r w:rsidRPr="00643EF4">
        <w:rPr>
          <w:rtl/>
        </w:rPr>
        <w:t xml:space="preserve"> </w:t>
      </w:r>
      <w:r w:rsidRPr="00643EF4">
        <w:rPr>
          <w:rFonts w:hint="eastAsia"/>
          <w:rtl/>
        </w:rPr>
        <w:t>היא</w:t>
      </w:r>
      <w:r w:rsidRPr="00643EF4">
        <w:rPr>
          <w:rtl/>
        </w:rPr>
        <w:t xml:space="preserve"> </w:t>
      </w:r>
      <w:r w:rsidRPr="00643EF4">
        <w:rPr>
          <w:rFonts w:hint="eastAsia"/>
          <w:rtl/>
        </w:rPr>
        <w:t>כה</w:t>
      </w:r>
      <w:r w:rsidRPr="00643EF4">
        <w:rPr>
          <w:rtl/>
        </w:rPr>
        <w:t xml:space="preserve"> </w:t>
      </w:r>
      <w:r w:rsidRPr="00643EF4">
        <w:rPr>
          <w:rFonts w:hint="eastAsia"/>
          <w:rtl/>
        </w:rPr>
        <w:t>רחבה</w:t>
      </w:r>
      <w:r w:rsidRPr="00643EF4">
        <w:rPr>
          <w:rtl/>
        </w:rPr>
        <w:t xml:space="preserve"> </w:t>
      </w:r>
      <w:r w:rsidRPr="00643EF4">
        <w:rPr>
          <w:rFonts w:hint="eastAsia"/>
          <w:rtl/>
        </w:rPr>
        <w:t>והעובדה</w:t>
      </w:r>
      <w:r w:rsidRPr="00643EF4">
        <w:rPr>
          <w:rtl/>
        </w:rPr>
        <w:t xml:space="preserve"> </w:t>
      </w:r>
      <w:r w:rsidRPr="00643EF4">
        <w:rPr>
          <w:rFonts w:hint="eastAsia"/>
          <w:rtl/>
        </w:rPr>
        <w:t>כי</w:t>
      </w:r>
      <w:r w:rsidRPr="00643EF4">
        <w:rPr>
          <w:rtl/>
        </w:rPr>
        <w:t xml:space="preserve"> </w:t>
      </w:r>
      <w:r w:rsidRPr="00643EF4">
        <w:rPr>
          <w:rFonts w:hint="eastAsia"/>
          <w:rtl/>
        </w:rPr>
        <w:t>היא</w:t>
      </w:r>
      <w:r w:rsidRPr="00643EF4">
        <w:rPr>
          <w:rtl/>
        </w:rPr>
        <w:t xml:space="preserve"> </w:t>
      </w:r>
      <w:r w:rsidRPr="00643EF4">
        <w:rPr>
          <w:rFonts w:hint="eastAsia"/>
          <w:rtl/>
        </w:rPr>
        <w:t>חלה</w:t>
      </w:r>
      <w:r w:rsidRPr="00643EF4">
        <w:rPr>
          <w:rtl/>
        </w:rPr>
        <w:t xml:space="preserve">, </w:t>
      </w:r>
      <w:r w:rsidRPr="00643EF4">
        <w:rPr>
          <w:rFonts w:hint="eastAsia"/>
          <w:rtl/>
        </w:rPr>
        <w:t>בין</w:t>
      </w:r>
      <w:r w:rsidRPr="00643EF4">
        <w:rPr>
          <w:rtl/>
        </w:rPr>
        <w:t xml:space="preserve"> </w:t>
      </w:r>
      <w:r w:rsidRPr="00643EF4">
        <w:rPr>
          <w:rFonts w:hint="eastAsia"/>
          <w:rtl/>
        </w:rPr>
        <w:t>היתר</w:t>
      </w:r>
      <w:r w:rsidRPr="00643EF4">
        <w:rPr>
          <w:rtl/>
        </w:rPr>
        <w:t xml:space="preserve">, </w:t>
      </w:r>
      <w:r w:rsidRPr="00643EF4">
        <w:rPr>
          <w:rFonts w:hint="eastAsia"/>
          <w:rtl/>
        </w:rPr>
        <w:t>גם</w:t>
      </w:r>
      <w:r w:rsidRPr="00643EF4">
        <w:rPr>
          <w:rtl/>
        </w:rPr>
        <w:t xml:space="preserve"> </w:t>
      </w:r>
      <w:r w:rsidRPr="00643EF4">
        <w:rPr>
          <w:rFonts w:hint="eastAsia"/>
          <w:rtl/>
        </w:rPr>
        <w:t>על</w:t>
      </w:r>
      <w:r w:rsidRPr="00643EF4">
        <w:rPr>
          <w:rtl/>
        </w:rPr>
        <w:t xml:space="preserve"> </w:t>
      </w:r>
      <w:r w:rsidRPr="00643EF4">
        <w:rPr>
          <w:rFonts w:hint="eastAsia"/>
          <w:rtl/>
        </w:rPr>
        <w:t>שטחים</w:t>
      </w:r>
      <w:r w:rsidRPr="00643EF4">
        <w:rPr>
          <w:rtl/>
        </w:rPr>
        <w:t xml:space="preserve"> </w:t>
      </w:r>
      <w:r w:rsidRPr="00643EF4">
        <w:rPr>
          <w:rFonts w:hint="eastAsia"/>
          <w:rtl/>
        </w:rPr>
        <w:t>חקלאיים</w:t>
      </w:r>
      <w:r w:rsidRPr="00643EF4">
        <w:rPr>
          <w:rtl/>
        </w:rPr>
        <w:t xml:space="preserve"> </w:t>
      </w:r>
      <w:r w:rsidRPr="00643EF4">
        <w:rPr>
          <w:rFonts w:hint="eastAsia"/>
          <w:rtl/>
        </w:rPr>
        <w:t>ומבנים</w:t>
      </w:r>
      <w:r w:rsidRPr="00643EF4">
        <w:rPr>
          <w:rtl/>
        </w:rPr>
        <w:t xml:space="preserve"> </w:t>
      </w:r>
      <w:r w:rsidRPr="00643EF4">
        <w:rPr>
          <w:rFonts w:hint="eastAsia"/>
          <w:rtl/>
        </w:rPr>
        <w:t>נוספים</w:t>
      </w:r>
      <w:r w:rsidRPr="00643EF4">
        <w:rPr>
          <w:rtl/>
        </w:rPr>
        <w:t xml:space="preserve"> </w:t>
      </w:r>
      <w:r w:rsidRPr="00643EF4">
        <w:rPr>
          <w:rFonts w:hint="eastAsia"/>
          <w:rtl/>
        </w:rPr>
        <w:t>ש</w:t>
      </w:r>
      <w:r w:rsidRPr="00643EF4">
        <w:rPr>
          <w:rFonts w:ascii="Century" w:hAnsi="Century" w:cs="Miriam" w:hint="eastAsia"/>
          <w:b/>
          <w:sz w:val="22"/>
          <w:szCs w:val="24"/>
          <w:rtl/>
        </w:rPr>
        <w:t>אינם</w:t>
      </w:r>
      <w:r w:rsidRPr="00643EF4">
        <w:rPr>
          <w:rFonts w:ascii="Century" w:hAnsi="Century" w:cs="Miriam"/>
          <w:b/>
          <w:sz w:val="22"/>
          <w:szCs w:val="24"/>
          <w:rtl/>
        </w:rPr>
        <w:t xml:space="preserve"> </w:t>
      </w:r>
      <w:r w:rsidRPr="00643EF4">
        <w:rPr>
          <w:rFonts w:ascii="Century" w:hAnsi="Century" w:cs="Miriam" w:hint="eastAsia"/>
          <w:b/>
          <w:sz w:val="22"/>
          <w:szCs w:val="24"/>
          <w:rtl/>
        </w:rPr>
        <w:t>משמשים</w:t>
      </w:r>
      <w:r w:rsidRPr="00643EF4">
        <w:rPr>
          <w:rFonts w:ascii="Century" w:hAnsi="Century" w:cs="Miriam"/>
          <w:b/>
          <w:sz w:val="22"/>
          <w:szCs w:val="24"/>
          <w:rtl/>
        </w:rPr>
        <w:t xml:space="preserve"> </w:t>
      </w:r>
      <w:r w:rsidRPr="00643EF4">
        <w:rPr>
          <w:rFonts w:ascii="Century" w:hAnsi="Century" w:cs="Miriam" w:hint="eastAsia"/>
          <w:b/>
          <w:sz w:val="22"/>
          <w:szCs w:val="24"/>
          <w:rtl/>
        </w:rPr>
        <w:t>למגורים</w:t>
      </w:r>
      <w:r w:rsidRPr="00643EF4">
        <w:rPr>
          <w:rtl/>
        </w:rPr>
        <w:t xml:space="preserve">, </w:t>
      </w:r>
      <w:r w:rsidRPr="00643EF4">
        <w:rPr>
          <w:rFonts w:hint="eastAsia"/>
          <w:rtl/>
        </w:rPr>
        <w:t>יש</w:t>
      </w:r>
      <w:r w:rsidRPr="00643EF4">
        <w:rPr>
          <w:rtl/>
        </w:rPr>
        <w:t xml:space="preserve"> </w:t>
      </w:r>
      <w:r w:rsidRPr="00643EF4">
        <w:rPr>
          <w:rFonts w:hint="eastAsia"/>
          <w:rtl/>
        </w:rPr>
        <w:t>בה</w:t>
      </w:r>
      <w:r w:rsidRPr="00643EF4">
        <w:rPr>
          <w:rtl/>
        </w:rPr>
        <w:t xml:space="preserve"> </w:t>
      </w:r>
      <w:r w:rsidRPr="00643EF4">
        <w:rPr>
          <w:rFonts w:hint="eastAsia"/>
          <w:rtl/>
        </w:rPr>
        <w:t>כדי</w:t>
      </w:r>
      <w:r w:rsidRPr="00643EF4">
        <w:rPr>
          <w:rtl/>
        </w:rPr>
        <w:t xml:space="preserve"> </w:t>
      </w:r>
      <w:r w:rsidRPr="00643EF4">
        <w:rPr>
          <w:rFonts w:hint="eastAsia"/>
          <w:rtl/>
        </w:rPr>
        <w:t>להחליש</w:t>
      </w:r>
      <w:r w:rsidRPr="00643EF4">
        <w:rPr>
          <w:rtl/>
        </w:rPr>
        <w:t xml:space="preserve"> </w:t>
      </w:r>
      <w:r w:rsidRPr="00643EF4">
        <w:rPr>
          <w:rFonts w:hint="eastAsia"/>
          <w:rtl/>
        </w:rPr>
        <w:t>את</w:t>
      </w:r>
      <w:r w:rsidRPr="00643EF4">
        <w:rPr>
          <w:rtl/>
        </w:rPr>
        <w:t xml:space="preserve"> </w:t>
      </w:r>
      <w:r w:rsidRPr="00643EF4">
        <w:rPr>
          <w:rFonts w:hint="eastAsia"/>
          <w:rtl/>
        </w:rPr>
        <w:t>הטענה</w:t>
      </w:r>
      <w:r w:rsidRPr="00643EF4">
        <w:rPr>
          <w:rtl/>
        </w:rPr>
        <w:t xml:space="preserve"> </w:t>
      </w:r>
      <w:r w:rsidRPr="00643EF4">
        <w:rPr>
          <w:rFonts w:hint="eastAsia"/>
          <w:rtl/>
        </w:rPr>
        <w:t>להסתמכות</w:t>
      </w:r>
      <w:r w:rsidRPr="00643EF4">
        <w:rPr>
          <w:rtl/>
        </w:rPr>
        <w:t xml:space="preserve"> </w:t>
      </w:r>
      <w:r w:rsidRPr="00643EF4">
        <w:rPr>
          <w:rFonts w:hint="eastAsia"/>
          <w:rtl/>
        </w:rPr>
        <w:t>שאינה</w:t>
      </w:r>
      <w:r w:rsidRPr="00643EF4">
        <w:rPr>
          <w:rtl/>
        </w:rPr>
        <w:t xml:space="preserve"> </w:t>
      </w:r>
      <w:r w:rsidRPr="00643EF4">
        <w:rPr>
          <w:rFonts w:hint="eastAsia"/>
          <w:rtl/>
        </w:rPr>
        <w:t>בת</w:t>
      </w:r>
      <w:r w:rsidRPr="00643EF4">
        <w:rPr>
          <w:rtl/>
        </w:rPr>
        <w:t xml:space="preserve"> </w:t>
      </w:r>
      <w:r w:rsidRPr="00643EF4">
        <w:rPr>
          <w:rFonts w:hint="eastAsia"/>
          <w:rtl/>
        </w:rPr>
        <w:t>פיצוי</w:t>
      </w:r>
      <w:r w:rsidRPr="00643EF4">
        <w:rPr>
          <w:rtl/>
        </w:rPr>
        <w:t xml:space="preserve"> </w:t>
      </w:r>
      <w:r w:rsidRPr="00643EF4">
        <w:rPr>
          <w:rFonts w:hint="eastAsia"/>
          <w:rtl/>
        </w:rPr>
        <w:t>במישור</w:t>
      </w:r>
      <w:r w:rsidRPr="00643EF4">
        <w:rPr>
          <w:rtl/>
        </w:rPr>
        <w:t xml:space="preserve"> </w:t>
      </w:r>
      <w:r w:rsidRPr="00643EF4">
        <w:rPr>
          <w:rFonts w:hint="eastAsia"/>
          <w:rtl/>
        </w:rPr>
        <w:t>הכלכלי</w:t>
      </w:r>
      <w:r w:rsidRPr="00643EF4">
        <w:rPr>
          <w:rtl/>
        </w:rPr>
        <w:t>.</w:t>
      </w:r>
      <w:r w:rsidRPr="00643EF4">
        <w:rPr>
          <w:rFonts w:hint="cs"/>
          <w:rtl/>
        </w:rPr>
        <w:t xml:space="preserve"> </w:t>
      </w:r>
    </w:p>
    <w:p w14:paraId="07E9902C"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264C91B9" w14:textId="48BF54E6" w:rsidR="00190218" w:rsidRPr="00643EF4" w:rsidRDefault="00190218" w:rsidP="00190218">
      <w:pPr>
        <w:pStyle w:val="Ruller4"/>
      </w:pPr>
      <w:r w:rsidRPr="00643EF4">
        <w:rPr>
          <w:rFonts w:hint="cs"/>
          <w:rtl/>
        </w:rPr>
        <w:t xml:space="preserve">עם זאת, שונה המצב באותם המקרים שבהם ניתן להצביע על כך שהבנייה נעשתה ב"תום לב" </w:t>
      </w:r>
      <w:r w:rsidRPr="00643EF4">
        <w:rPr>
          <w:rFonts w:ascii="Miriam" w:hAnsi="Miriam" w:cs="Miriam" w:hint="eastAsia"/>
          <w:szCs w:val="24"/>
          <w:rtl/>
        </w:rPr>
        <w:t>וכן</w:t>
      </w:r>
      <w:r w:rsidRPr="00643EF4">
        <w:rPr>
          <w:rFonts w:hint="cs"/>
          <w:rtl/>
        </w:rPr>
        <w:t xml:space="preserve"> ב"הסכמת המדינה" במובן שיש בו כדי להקים אינטרס הסתמכות, </w:t>
      </w:r>
      <w:r w:rsidRPr="00643EF4">
        <w:rPr>
          <w:rtl/>
        </w:rPr>
        <w:t xml:space="preserve">למשל בנייה בתום לב בהתאם לתוכנית בנייה מאושרת על מקרקעין שנגרעו משטח ההכרזה </w:t>
      </w:r>
      <w:r w:rsidRPr="00643EF4">
        <w:rPr>
          <w:rFonts w:hint="cs"/>
          <w:rtl/>
        </w:rPr>
        <w:t xml:space="preserve">על רכוש ממשלתי </w:t>
      </w:r>
      <w:r w:rsidRPr="00643EF4">
        <w:rPr>
          <w:rtl/>
        </w:rPr>
        <w:t xml:space="preserve">שנים ארוכות לאחר מכן בעקבות עבודות צוות קו כחול. ביחס למקרים </w:t>
      </w:r>
      <w:r w:rsidRPr="00643EF4">
        <w:rPr>
          <w:rFonts w:hint="cs"/>
          <w:rtl/>
        </w:rPr>
        <w:t>כאלה</w:t>
      </w:r>
      <w:r w:rsidRPr="00643EF4">
        <w:rPr>
          <w:rtl/>
        </w:rPr>
        <w:t xml:space="preserve"> </w:t>
      </w:r>
      <w:r w:rsidRPr="00643EF4">
        <w:rPr>
          <w:rFonts w:hint="cs"/>
          <w:rtl/>
        </w:rPr>
        <w:t>ודומיהם, נראה כי הסתמכות הפרט על הבטחת הרשות הייתה סבירה בנסיבות העניין</w:t>
      </w:r>
      <w:r w:rsidRPr="00643EF4">
        <w:rPr>
          <w:rtl/>
        </w:rPr>
        <w:t xml:space="preserve">, </w:t>
      </w:r>
      <w:r w:rsidRPr="00643EF4">
        <w:rPr>
          <w:rFonts w:hint="cs"/>
          <w:rtl/>
        </w:rPr>
        <w:t>ועל כן ניתן</w:t>
      </w:r>
      <w:r w:rsidRPr="00643EF4">
        <w:rPr>
          <w:rtl/>
        </w:rPr>
        <w:t xml:space="preserve"> לקבוע</w:t>
      </w:r>
      <w:r w:rsidRPr="00643EF4">
        <w:rPr>
          <w:rFonts w:hint="cs"/>
          <w:rtl/>
        </w:rPr>
        <w:t xml:space="preserve"> </w:t>
      </w:r>
      <w:r w:rsidRPr="00643EF4">
        <w:rPr>
          <w:rtl/>
        </w:rPr>
        <w:t>כי</w:t>
      </w:r>
      <w:r w:rsidRPr="00643EF4">
        <w:rPr>
          <w:rFonts w:hint="cs"/>
          <w:rtl/>
        </w:rPr>
        <w:t xml:space="preserve"> בנסיבות כאלה התכלית ראויה. במילים אחרות, בנסיבות מתאימות, כאשר הבנייה נעשתה בתום לב ובהסכמת המדינה, הצורך ליתן מענה למצוקתם של המתיישבים יכול להצדיק פגיעה מסוימת בזכויות אדם. לכ</w:t>
      </w:r>
      <w:r w:rsidR="00544D71" w:rsidRPr="00643EF4">
        <w:rPr>
          <w:rFonts w:hint="cs"/>
          <w:rtl/>
        </w:rPr>
        <w:t>ך יש להוסיף את הסייג הנובע מהעוב</w:t>
      </w:r>
      <w:r w:rsidRPr="00643EF4">
        <w:rPr>
          <w:rFonts w:hint="cs"/>
          <w:rtl/>
        </w:rPr>
        <w:t>דה כי מדובר בשטח המוחזק על ידי המדינה בתפיסה לוחמתית</w:t>
      </w:r>
      <w:r w:rsidR="00A73EA4" w:rsidRPr="00643EF4">
        <w:rPr>
          <w:rFonts w:hint="cs"/>
          <w:rtl/>
        </w:rPr>
        <w:t>,</w:t>
      </w:r>
      <w:r w:rsidRPr="00643EF4">
        <w:rPr>
          <w:rFonts w:hint="cs"/>
          <w:rtl/>
        </w:rPr>
        <w:t xml:space="preserve"> האמורה להיות זמנית מעצם טיבה (וראו לעניין זה גם סעיף 3(2)(ב) לחוק). </w:t>
      </w:r>
    </w:p>
    <w:p w14:paraId="627F205A"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p>
    <w:p w14:paraId="4208F4BC" w14:textId="77777777" w:rsidR="00190218" w:rsidRPr="00643EF4" w:rsidRDefault="00190218" w:rsidP="00190218">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לא נעלם מעיני כי בהתייחסו לדרישת "תום הלב" לצד הדרישה ל"הסכמת המדינה" נעשה בחוק השימוש במילה "או" (ראו סעיף 3 לחוק ההסדרה) והצדדים בטיעוניהם, כל אחד מטעמיו, הצביעו על כך שמדובר בדרישות שהן חלופיות ולא מצטברות. אך כידוע, ניתן לפרש את המילה "או" גם כמילה מחברת (על </w:t>
      </w:r>
      <w:r w:rsidRPr="00643EF4">
        <w:rPr>
          <w:rFonts w:ascii="Garamond" w:hAnsi="Garamond" w:cs="FrankRuehl" w:hint="eastAsia"/>
          <w:spacing w:val="10"/>
          <w:sz w:val="24"/>
          <w:szCs w:val="28"/>
          <w:rtl/>
        </w:rPr>
        <w:t>המשמעות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של</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המילה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או</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אשר</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יש</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שהיא</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מפרידה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בין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שתי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מילים</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ויש</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שהיא</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מחברת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ראו</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חיים</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כהן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סכלות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ו</w:t>
      </w:r>
      <w:r w:rsidRPr="00643EF4">
        <w:rPr>
          <w:rFonts w:ascii="Garamond" w:hAnsi="Garamond" w:cs="FrankRuehl"/>
          <w:spacing w:val="10"/>
          <w:sz w:val="24"/>
          <w:szCs w:val="28"/>
          <w:rtl/>
        </w:rPr>
        <w:t>/</w:t>
      </w:r>
      <w:r w:rsidRPr="00643EF4">
        <w:rPr>
          <w:rFonts w:ascii="Garamond" w:hAnsi="Garamond" w:cs="FrankRuehl" w:hint="eastAsia"/>
          <w:spacing w:val="10"/>
          <w:sz w:val="24"/>
          <w:szCs w:val="28"/>
          <w:rtl/>
        </w:rPr>
        <w:t>או</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איוולת</w:t>
      </w:r>
      <w:r w:rsidRPr="00643EF4">
        <w:rPr>
          <w:rFonts w:ascii="Garamond" w:hAnsi="Garamond" w:cs="FrankRuehl"/>
          <w:spacing w:val="10"/>
          <w:sz w:val="24"/>
          <w:szCs w:val="28"/>
          <w:rtl/>
        </w:rPr>
        <w:t xml:space="preserve">" </w:t>
      </w:r>
      <w:r w:rsidRPr="00643EF4">
        <w:rPr>
          <w:rFonts w:ascii="Century" w:hAnsi="Century" w:cs="Miriam" w:hint="eastAsia"/>
          <w:b/>
          <w:sz w:val="24"/>
          <w:rtl/>
        </w:rPr>
        <w:t>לשוננו</w:t>
      </w:r>
      <w:r w:rsidRPr="00643EF4">
        <w:rPr>
          <w:rFonts w:ascii="Century" w:hAnsi="Century" w:cs="Miriam"/>
          <w:b/>
          <w:sz w:val="24"/>
          <w:rtl/>
        </w:rPr>
        <w:t xml:space="preserve"> </w:t>
      </w:r>
      <w:r w:rsidRPr="00643EF4">
        <w:rPr>
          <w:rFonts w:ascii="Century" w:hAnsi="Century" w:cs="Miriam" w:hint="eastAsia"/>
          <w:b/>
          <w:sz w:val="24"/>
          <w:rtl/>
        </w:rPr>
        <w:t>לעם</w:t>
      </w:r>
      <w:r w:rsidRPr="00643EF4">
        <w:rPr>
          <w:rFonts w:ascii="Century" w:hAnsi="Century" w:cs="FrankRuehl"/>
          <w:spacing w:val="10"/>
          <w:sz w:val="24"/>
          <w:szCs w:val="28"/>
          <w:rtl/>
        </w:rPr>
        <w:t xml:space="preserve"> </w:t>
      </w:r>
      <w:r w:rsidRPr="00643EF4">
        <w:rPr>
          <w:rFonts w:ascii="Century" w:hAnsi="Century" w:cs="FrankRuehl" w:hint="eastAsia"/>
          <w:spacing w:val="10"/>
          <w:sz w:val="24"/>
          <w:szCs w:val="28"/>
          <w:rtl/>
        </w:rPr>
        <w:t>לב</w:t>
      </w:r>
      <w:r w:rsidRPr="00643EF4">
        <w:rPr>
          <w:rFonts w:ascii="Century" w:hAnsi="Century" w:cs="FrankRuehl" w:hint="cs"/>
          <w:spacing w:val="10"/>
          <w:sz w:val="24"/>
          <w:szCs w:val="28"/>
          <w:rtl/>
        </w:rPr>
        <w:t>(</w:t>
      </w:r>
      <w:r w:rsidRPr="00643EF4">
        <w:rPr>
          <w:rFonts w:ascii="Century" w:hAnsi="Century" w:cs="FrankRuehl" w:hint="eastAsia"/>
          <w:spacing w:val="10"/>
          <w:sz w:val="24"/>
          <w:szCs w:val="28"/>
          <w:rtl/>
        </w:rPr>
        <w:t>א</w:t>
      </w:r>
      <w:r w:rsidRPr="00643EF4">
        <w:rPr>
          <w:rFonts w:ascii="Century" w:hAnsi="Century" w:cs="FrankRuehl" w:hint="cs"/>
          <w:spacing w:val="10"/>
          <w:sz w:val="24"/>
          <w:szCs w:val="28"/>
          <w:rtl/>
        </w:rPr>
        <w:t>)</w:t>
      </w:r>
      <w:r w:rsidRPr="00643EF4">
        <w:rPr>
          <w:rFonts w:ascii="Century" w:hAnsi="Century" w:cs="FrankRuehl"/>
          <w:spacing w:val="10"/>
          <w:sz w:val="24"/>
          <w:szCs w:val="28"/>
          <w:rtl/>
        </w:rPr>
        <w:t xml:space="preserve"> 4 (1981)</w:t>
      </w:r>
      <w:r w:rsidRPr="00643EF4">
        <w:rPr>
          <w:rFonts w:ascii="Garamond" w:hAnsi="Garamond" w:cs="FrankRuehl"/>
          <w:spacing w:val="10"/>
          <w:sz w:val="24"/>
          <w:szCs w:val="28"/>
          <w:rtl/>
        </w:rPr>
        <w:t>;</w:t>
      </w:r>
      <w:r w:rsidRPr="00643EF4">
        <w:rPr>
          <w:rFonts w:ascii="Garamond" w:hAnsi="Garamond" w:cs="FrankRuehl" w:hint="cs"/>
          <w:spacing w:val="10"/>
          <w:sz w:val="24"/>
          <w:szCs w:val="28"/>
          <w:rtl/>
        </w:rPr>
        <w:t xml:space="preserve"> כן ראו והשוו </w:t>
      </w:r>
      <w:r w:rsidRPr="00643EF4">
        <w:rPr>
          <w:rFonts w:ascii="Garamond" w:hAnsi="Garamond" w:cs="FrankRuehl"/>
          <w:spacing w:val="10"/>
          <w:sz w:val="24"/>
          <w:szCs w:val="28"/>
          <w:rtl/>
        </w:rPr>
        <w:t>ע</w:t>
      </w:r>
      <w:r w:rsidRPr="00643EF4">
        <w:rPr>
          <w:rFonts w:ascii="Garamond" w:hAnsi="Garamond" w:cs="FrankRuehl" w:hint="cs"/>
          <w:spacing w:val="10"/>
          <w:sz w:val="24"/>
          <w:szCs w:val="28"/>
          <w:rtl/>
        </w:rPr>
        <w:t>"</w:t>
      </w:r>
      <w:r w:rsidRPr="00643EF4">
        <w:rPr>
          <w:rFonts w:ascii="Garamond" w:hAnsi="Garamond" w:cs="FrankRuehl"/>
          <w:spacing w:val="10"/>
          <w:sz w:val="24"/>
          <w:szCs w:val="28"/>
          <w:rtl/>
        </w:rPr>
        <w:t xml:space="preserve">פ 5877/13 </w:t>
      </w:r>
      <w:r w:rsidRPr="00643EF4">
        <w:rPr>
          <w:rFonts w:ascii="Century" w:hAnsi="Century" w:cs="Miriam" w:hint="eastAsia"/>
          <w:b/>
          <w:sz w:val="22"/>
          <w:rtl/>
        </w:rPr>
        <w:t>גאלב</w:t>
      </w:r>
      <w:r w:rsidRPr="00643EF4">
        <w:rPr>
          <w:rFonts w:ascii="Century" w:hAnsi="Century" w:cs="Miriam"/>
          <w:b/>
          <w:sz w:val="22"/>
          <w:rtl/>
        </w:rPr>
        <w:t xml:space="preserve"> </w:t>
      </w:r>
      <w:r w:rsidRPr="00643EF4">
        <w:rPr>
          <w:rFonts w:ascii="Century" w:hAnsi="Century" w:cs="Miriam" w:hint="eastAsia"/>
          <w:b/>
          <w:sz w:val="22"/>
          <w:rtl/>
        </w:rPr>
        <w:t>נ</w:t>
      </w:r>
      <w:r w:rsidRPr="00643EF4">
        <w:rPr>
          <w:rFonts w:ascii="Century" w:hAnsi="Century" w:cs="Miriam"/>
          <w:b/>
          <w:sz w:val="22"/>
          <w:rtl/>
        </w:rPr>
        <w:t xml:space="preserve">' </w:t>
      </w:r>
      <w:r w:rsidRPr="00643EF4">
        <w:rPr>
          <w:rFonts w:ascii="Century" w:hAnsi="Century" w:cs="Miriam" w:hint="eastAsia"/>
          <w:b/>
          <w:sz w:val="22"/>
          <w:rtl/>
        </w:rPr>
        <w:t>מדינת</w:t>
      </w:r>
      <w:r w:rsidRPr="00643EF4">
        <w:rPr>
          <w:rFonts w:ascii="Century" w:hAnsi="Century" w:cs="Miriam"/>
          <w:b/>
          <w:sz w:val="22"/>
          <w:rtl/>
        </w:rPr>
        <w:t xml:space="preserve"> </w:t>
      </w:r>
      <w:r w:rsidRPr="00643EF4">
        <w:rPr>
          <w:rFonts w:ascii="Century" w:hAnsi="Century" w:cs="Miriam" w:hint="eastAsia"/>
          <w:b/>
          <w:sz w:val="22"/>
          <w:rtl/>
        </w:rPr>
        <w:t>ישרא</w:t>
      </w:r>
      <w:r w:rsidRPr="00643EF4">
        <w:rPr>
          <w:rFonts w:ascii="Century" w:hAnsi="Century" w:cs="Miriam" w:hint="cs"/>
          <w:b/>
          <w:sz w:val="22"/>
          <w:rtl/>
        </w:rPr>
        <w:t>ל</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פסקה</w:t>
      </w:r>
      <w:r w:rsidRPr="00643EF4">
        <w:rPr>
          <w:rFonts w:ascii="Garamond" w:hAnsi="Garamond" w:cs="FrankRuehl"/>
          <w:spacing w:val="10"/>
          <w:sz w:val="24"/>
          <w:szCs w:val="28"/>
          <w:rtl/>
        </w:rPr>
        <w:t xml:space="preserve"> 10 (2.4.2015</w:t>
      </w:r>
      <w:r w:rsidRPr="00643EF4">
        <w:rPr>
          <w:rFonts w:ascii="Garamond" w:hAnsi="Garamond" w:cs="FrankRuehl" w:hint="cs"/>
          <w:spacing w:val="10"/>
          <w:sz w:val="24"/>
          <w:szCs w:val="28"/>
          <w:rtl/>
        </w:rPr>
        <w:t xml:space="preserve">)). לגישתי, ככל שאנו מבקשים לראות בצורך ליתן מענה למצוקה האנושית של המתיישבים תכלית ראויה, יש אכן לפרש את המילה "או" כמילה מחברת ומשמעות הדבר היא כי דרישת תום הלב והדרישה להסכמת המדינה שבסעיף 3 לחוק הן דרישות מצטברות. </w:t>
      </w:r>
    </w:p>
    <w:p w14:paraId="6CA1BA8B" w14:textId="77777777" w:rsidR="00190218" w:rsidRPr="00643EF4" w:rsidRDefault="00190218" w:rsidP="00190218">
      <w:pPr>
        <w:tabs>
          <w:tab w:val="left" w:pos="800"/>
        </w:tabs>
        <w:spacing w:line="360" w:lineRule="auto"/>
        <w:jc w:val="both"/>
        <w:rPr>
          <w:rFonts w:ascii="Century" w:hAnsi="Century" w:cs="Miriam"/>
          <w:b/>
          <w:sz w:val="22"/>
          <w:rtl/>
        </w:rPr>
      </w:pPr>
    </w:p>
    <w:p w14:paraId="7A6849FE" w14:textId="77777777" w:rsidR="00A7632E" w:rsidRPr="00643EF4" w:rsidRDefault="00A7632E" w:rsidP="00190218">
      <w:pPr>
        <w:tabs>
          <w:tab w:val="left" w:pos="800"/>
        </w:tabs>
        <w:spacing w:line="360" w:lineRule="auto"/>
        <w:jc w:val="both"/>
        <w:rPr>
          <w:rFonts w:ascii="Century" w:hAnsi="Century" w:cs="Miriam"/>
          <w:b/>
          <w:sz w:val="22"/>
          <w:rtl/>
        </w:rPr>
      </w:pPr>
    </w:p>
    <w:p w14:paraId="137E5611" w14:textId="2415FBC4" w:rsidR="00190218" w:rsidRPr="00643EF4" w:rsidRDefault="00190218" w:rsidP="00190218">
      <w:pPr>
        <w:tabs>
          <w:tab w:val="left" w:pos="800"/>
        </w:tabs>
        <w:spacing w:line="360" w:lineRule="auto"/>
        <w:jc w:val="both"/>
        <w:rPr>
          <w:rFonts w:ascii="Century" w:hAnsi="Century" w:cs="Miriam"/>
          <w:b/>
          <w:sz w:val="22"/>
        </w:rPr>
      </w:pPr>
      <w:r w:rsidRPr="00643EF4">
        <w:rPr>
          <w:rFonts w:ascii="Century" w:hAnsi="Century" w:cs="Miriam" w:hint="cs"/>
          <w:b/>
          <w:sz w:val="22"/>
          <w:rtl/>
        </w:rPr>
        <w:t xml:space="preserve">תכלית החקיקה </w:t>
      </w:r>
      <w:r w:rsidRPr="00643EF4">
        <w:rPr>
          <w:rFonts w:ascii="Century" w:hAnsi="Century" w:cs="Miriam"/>
          <w:b/>
          <w:sz w:val="22"/>
          <w:rtl/>
        </w:rPr>
        <w:t>–</w:t>
      </w:r>
      <w:r w:rsidRPr="00643EF4">
        <w:rPr>
          <w:rFonts w:ascii="Century" w:hAnsi="Century" w:cs="Miriam" w:hint="cs"/>
          <w:b/>
          <w:sz w:val="22"/>
          <w:rtl/>
        </w:rPr>
        <w:t xml:space="preserve"> סיכום</w:t>
      </w:r>
    </w:p>
    <w:p w14:paraId="70B88F7B" w14:textId="77777777" w:rsidR="00190218" w:rsidRPr="00643EF4" w:rsidRDefault="00190218" w:rsidP="00190218">
      <w:pPr>
        <w:tabs>
          <w:tab w:val="left" w:pos="800"/>
        </w:tabs>
        <w:spacing w:line="360" w:lineRule="auto"/>
        <w:jc w:val="both"/>
        <w:rPr>
          <w:rFonts w:ascii="Arial TUR" w:hAnsi="Arial TUR" w:cs="FrankRuehl"/>
          <w:spacing w:val="10"/>
          <w:sz w:val="22"/>
          <w:szCs w:val="28"/>
          <w:rtl/>
        </w:rPr>
      </w:pPr>
    </w:p>
    <w:p w14:paraId="7365628F" w14:textId="4B91E565" w:rsidR="00190218" w:rsidRPr="00643EF4" w:rsidRDefault="00190218" w:rsidP="00190218">
      <w:pPr>
        <w:pStyle w:val="Ruller4"/>
        <w:rPr>
          <w:rtl/>
        </w:rPr>
      </w:pPr>
      <w:r w:rsidRPr="00643EF4">
        <w:rPr>
          <w:rFonts w:hint="cs"/>
          <w:rtl/>
        </w:rPr>
        <w:t>מבין התכליות שמנינו לעיל, מצאתי כי התכלית המערכתית</w:t>
      </w:r>
      <w:r w:rsidRPr="00643EF4">
        <w:rPr>
          <w:rtl/>
        </w:rPr>
        <w:t xml:space="preserve"> </w:t>
      </w:r>
      <w:r w:rsidRPr="00643EF4">
        <w:rPr>
          <w:rFonts w:hint="eastAsia"/>
          <w:rtl/>
        </w:rPr>
        <w:t>איננה</w:t>
      </w:r>
      <w:r w:rsidRPr="00643EF4">
        <w:rPr>
          <w:rtl/>
        </w:rPr>
        <w:t xml:space="preserve"> </w:t>
      </w:r>
      <w:r w:rsidRPr="00643EF4">
        <w:rPr>
          <w:rFonts w:hint="eastAsia"/>
          <w:rtl/>
        </w:rPr>
        <w:t>תכלית</w:t>
      </w:r>
      <w:r w:rsidRPr="00643EF4">
        <w:rPr>
          <w:rtl/>
        </w:rPr>
        <w:t xml:space="preserve"> </w:t>
      </w:r>
      <w:r w:rsidRPr="00643EF4">
        <w:rPr>
          <w:rFonts w:hint="eastAsia"/>
          <w:rtl/>
        </w:rPr>
        <w:t>ראויה</w:t>
      </w:r>
      <w:r w:rsidRPr="00643EF4">
        <w:rPr>
          <w:rtl/>
        </w:rPr>
        <w:t xml:space="preserve"> </w:t>
      </w:r>
      <w:r w:rsidRPr="00643EF4">
        <w:rPr>
          <w:rFonts w:hint="eastAsia"/>
          <w:rtl/>
        </w:rPr>
        <w:t>על</w:t>
      </w:r>
      <w:r w:rsidRPr="00643EF4">
        <w:rPr>
          <w:rtl/>
        </w:rPr>
        <w:t xml:space="preserve"> </w:t>
      </w:r>
      <w:r w:rsidRPr="00643EF4">
        <w:rPr>
          <w:rFonts w:hint="eastAsia"/>
          <w:rtl/>
        </w:rPr>
        <w:t>פי</w:t>
      </w:r>
      <w:r w:rsidRPr="00643EF4">
        <w:rPr>
          <w:rtl/>
        </w:rPr>
        <w:t xml:space="preserve"> </w:t>
      </w:r>
      <w:r w:rsidRPr="00643EF4">
        <w:rPr>
          <w:rFonts w:hint="eastAsia"/>
          <w:rtl/>
        </w:rPr>
        <w:t>חוק</w:t>
      </w:r>
      <w:r w:rsidRPr="00643EF4">
        <w:rPr>
          <w:rtl/>
        </w:rPr>
        <w:t xml:space="preserve"> </w:t>
      </w:r>
      <w:r w:rsidRPr="00643EF4">
        <w:rPr>
          <w:rFonts w:hint="eastAsia"/>
          <w:rtl/>
        </w:rPr>
        <w:t>היסוד</w:t>
      </w:r>
      <w:r w:rsidRPr="00643EF4">
        <w:rPr>
          <w:rtl/>
        </w:rPr>
        <w:t>.</w:t>
      </w:r>
      <w:r w:rsidRPr="00643EF4">
        <w:rPr>
          <w:rFonts w:hint="cs"/>
          <w:rtl/>
        </w:rPr>
        <w:t xml:space="preserve"> לעומת זאת אני סבורה כי התכלית האנושית, ככל שזו נוגעת לאותם מתיישבים אשר בנו את בתיהם באזור </w:t>
      </w:r>
      <w:r w:rsidRPr="00643EF4">
        <w:rPr>
          <w:rFonts w:ascii="Century" w:hAnsi="Century" w:cs="Miriam" w:hint="eastAsia"/>
          <w:b/>
          <w:sz w:val="22"/>
          <w:szCs w:val="24"/>
          <w:rtl/>
        </w:rPr>
        <w:t>בתום</w:t>
      </w:r>
      <w:r w:rsidRPr="00643EF4">
        <w:rPr>
          <w:rFonts w:ascii="Century" w:hAnsi="Century" w:cs="Miriam"/>
          <w:b/>
          <w:sz w:val="22"/>
          <w:szCs w:val="24"/>
          <w:rtl/>
        </w:rPr>
        <w:t xml:space="preserve"> </w:t>
      </w:r>
      <w:r w:rsidRPr="00643EF4">
        <w:rPr>
          <w:rFonts w:ascii="Century" w:hAnsi="Century" w:cs="Miriam" w:hint="eastAsia"/>
          <w:b/>
          <w:sz w:val="22"/>
          <w:szCs w:val="24"/>
          <w:rtl/>
        </w:rPr>
        <w:t>לב</w:t>
      </w:r>
      <w:r w:rsidRPr="00643EF4">
        <w:rPr>
          <w:rFonts w:ascii="Century" w:hAnsi="Century" w:cs="Miriam" w:hint="cs"/>
          <w:b/>
          <w:sz w:val="22"/>
          <w:szCs w:val="24"/>
          <w:rtl/>
        </w:rPr>
        <w:t xml:space="preserve"> </w:t>
      </w:r>
      <w:r w:rsidRPr="00643EF4">
        <w:rPr>
          <w:rFonts w:ascii="Century" w:hAnsi="Century" w:cs="Miriam"/>
          <w:b/>
          <w:sz w:val="22"/>
          <w:szCs w:val="24"/>
          <w:rtl/>
        </w:rPr>
        <w:t>ו</w:t>
      </w:r>
      <w:r w:rsidRPr="00643EF4">
        <w:rPr>
          <w:rFonts w:ascii="Century" w:hAnsi="Century" w:cs="Miriam" w:hint="eastAsia"/>
          <w:b/>
          <w:sz w:val="22"/>
          <w:szCs w:val="24"/>
          <w:rtl/>
        </w:rPr>
        <w:t>בהסתמך</w:t>
      </w:r>
      <w:r w:rsidRPr="00643EF4">
        <w:rPr>
          <w:rFonts w:ascii="Century" w:hAnsi="Century" w:cs="Miriam"/>
          <w:b/>
          <w:sz w:val="22"/>
          <w:szCs w:val="24"/>
          <w:rtl/>
        </w:rPr>
        <w:t xml:space="preserve"> </w:t>
      </w:r>
      <w:r w:rsidRPr="00643EF4">
        <w:rPr>
          <w:rFonts w:ascii="Century" w:hAnsi="Century" w:cs="Miriam" w:hint="eastAsia"/>
          <w:b/>
          <w:sz w:val="22"/>
          <w:szCs w:val="24"/>
          <w:rtl/>
        </w:rPr>
        <w:t>על</w:t>
      </w:r>
      <w:r w:rsidRPr="00643EF4">
        <w:rPr>
          <w:rFonts w:ascii="Century" w:hAnsi="Century" w:cs="Miriam"/>
          <w:b/>
          <w:sz w:val="22"/>
          <w:szCs w:val="24"/>
          <w:rtl/>
        </w:rPr>
        <w:t xml:space="preserve"> </w:t>
      </w:r>
      <w:r w:rsidRPr="00643EF4">
        <w:rPr>
          <w:rFonts w:ascii="Century" w:hAnsi="Century" w:cs="Miriam" w:hint="eastAsia"/>
          <w:b/>
          <w:sz w:val="22"/>
          <w:szCs w:val="24"/>
          <w:rtl/>
        </w:rPr>
        <w:t>מצגי</w:t>
      </w:r>
      <w:r w:rsidRPr="00643EF4">
        <w:rPr>
          <w:rFonts w:ascii="Century" w:hAnsi="Century" w:cs="Miriam"/>
          <w:b/>
          <w:sz w:val="22"/>
          <w:szCs w:val="24"/>
          <w:rtl/>
        </w:rPr>
        <w:t xml:space="preserve"> </w:t>
      </w:r>
      <w:r w:rsidRPr="00643EF4">
        <w:rPr>
          <w:rFonts w:ascii="Century" w:hAnsi="Century" w:cs="Miriam" w:hint="eastAsia"/>
          <w:b/>
          <w:sz w:val="22"/>
          <w:szCs w:val="24"/>
          <w:rtl/>
        </w:rPr>
        <w:t>הרשויות</w:t>
      </w:r>
      <w:r w:rsidRPr="00643EF4">
        <w:rPr>
          <w:rFonts w:ascii="Century" w:hAnsi="Century" w:cs="Miriam" w:hint="cs"/>
          <w:b/>
          <w:sz w:val="22"/>
          <w:szCs w:val="24"/>
          <w:rtl/>
        </w:rPr>
        <w:t xml:space="preserve"> המוסמכות</w:t>
      </w:r>
      <w:r w:rsidRPr="00643EF4">
        <w:rPr>
          <w:rFonts w:hint="cs"/>
          <w:rtl/>
        </w:rPr>
        <w:t xml:space="preserve"> יכולה להיחשב תכלית ראויה. </w:t>
      </w:r>
    </w:p>
    <w:p w14:paraId="1382F1FA" w14:textId="77777777" w:rsidR="00190218" w:rsidRPr="00643EF4" w:rsidRDefault="00190218" w:rsidP="00190218">
      <w:pPr>
        <w:tabs>
          <w:tab w:val="left" w:pos="800"/>
        </w:tabs>
        <w:spacing w:line="360" w:lineRule="auto"/>
        <w:jc w:val="both"/>
        <w:rPr>
          <w:rFonts w:ascii="Arial TUR" w:hAnsi="Arial TUR" w:cs="FrankRuehl"/>
          <w:spacing w:val="10"/>
          <w:sz w:val="22"/>
          <w:szCs w:val="28"/>
        </w:rPr>
      </w:pPr>
    </w:p>
    <w:p w14:paraId="2189B833" w14:textId="1C18C25C" w:rsidR="00190218" w:rsidRPr="00643EF4" w:rsidRDefault="00190218" w:rsidP="00190218">
      <w:pPr>
        <w:pStyle w:val="Ruller4"/>
        <w:rPr>
          <w:rtl/>
        </w:rPr>
      </w:pPr>
      <w:r w:rsidRPr="00643EF4">
        <w:rPr>
          <w:rFonts w:hint="cs"/>
          <w:rtl/>
        </w:rPr>
        <w:t>העובדה שחוק מקדם, בין יתר תכליותיו, גם תכלית ראויה, אינה מצדיקה התעלמות מהפגיעה שתכליותיו הלא ראויות עלולות לגרום (</w:t>
      </w:r>
      <w:r w:rsidRPr="00643EF4">
        <w:rPr>
          <w:rFonts w:ascii="Century" w:hAnsi="Century" w:cs="Miriam" w:hint="eastAsia"/>
          <w:b/>
          <w:sz w:val="22"/>
          <w:szCs w:val="24"/>
          <w:rtl/>
        </w:rPr>
        <w:t>ברק</w:t>
      </w:r>
      <w:r w:rsidRPr="00643EF4">
        <w:rPr>
          <w:rFonts w:ascii="Century" w:hAnsi="Century" w:cs="Miriam"/>
          <w:b/>
          <w:sz w:val="22"/>
          <w:szCs w:val="24"/>
          <w:rtl/>
        </w:rPr>
        <w:t xml:space="preserve"> </w:t>
      </w:r>
      <w:r w:rsidRPr="00643EF4">
        <w:rPr>
          <w:rFonts w:ascii="Century" w:hAnsi="Century" w:cs="Miriam" w:hint="eastAsia"/>
          <w:b/>
          <w:sz w:val="22"/>
          <w:szCs w:val="24"/>
          <w:rtl/>
        </w:rPr>
        <w:t>מדינה</w:t>
      </w:r>
      <w:r w:rsidRPr="00643EF4">
        <w:rPr>
          <w:rtl/>
        </w:rPr>
        <w:t>,</w:t>
      </w:r>
      <w:r w:rsidRPr="00643EF4">
        <w:rPr>
          <w:rFonts w:hint="cs"/>
          <w:rtl/>
        </w:rPr>
        <w:t xml:space="preserve"> ב</w:t>
      </w:r>
      <w:r w:rsidRPr="00643EF4">
        <w:rPr>
          <w:rFonts w:hint="eastAsia"/>
          <w:rtl/>
        </w:rPr>
        <w:t>עמ</w:t>
      </w:r>
      <w:r w:rsidRPr="00643EF4">
        <w:rPr>
          <w:rtl/>
        </w:rPr>
        <w:t>' 165</w:t>
      </w:r>
      <w:r w:rsidRPr="00643EF4">
        <w:rPr>
          <w:rFonts w:hint="cs"/>
          <w:rtl/>
        </w:rPr>
        <w:t xml:space="preserve">). בהקשר זה עולה השאלה מה הדין כאשר לדבר חקיקה יש יותר מתכלית דומיננטית אחת ורק אחת מתכליותיו היא ראויה (ראו </w:t>
      </w:r>
      <w:r w:rsidRPr="00643EF4">
        <w:rPr>
          <w:rFonts w:ascii="Century" w:hAnsi="Century" w:hint="cs"/>
          <w:sz w:val="22"/>
          <w:rtl/>
        </w:rPr>
        <w:t>עניין</w:t>
      </w:r>
      <w:r w:rsidRPr="00643EF4">
        <w:rPr>
          <w:rFonts w:ascii="Century" w:hAnsi="Century" w:cs="Miriam" w:hint="cs"/>
          <w:b/>
          <w:sz w:val="22"/>
          <w:szCs w:val="24"/>
          <w:rtl/>
        </w:rPr>
        <w:t xml:space="preserve"> אורון</w:t>
      </w:r>
      <w:r w:rsidRPr="00643EF4">
        <w:rPr>
          <w:rFonts w:ascii="Century" w:hAnsi="Century" w:hint="cs"/>
          <w:rtl/>
        </w:rPr>
        <w:t>, בעמ' 655; לגישה לפיה</w:t>
      </w:r>
      <w:r w:rsidRPr="00643EF4">
        <w:rPr>
          <w:rFonts w:hint="cs"/>
          <w:rtl/>
        </w:rPr>
        <w:t xml:space="preserve"> </w:t>
      </w:r>
      <w:r w:rsidRPr="00643EF4">
        <w:rPr>
          <w:rFonts w:hint="eastAsia"/>
          <w:rtl/>
        </w:rPr>
        <w:t>במסגרת</w:t>
      </w:r>
      <w:r w:rsidRPr="00643EF4">
        <w:rPr>
          <w:rtl/>
        </w:rPr>
        <w:t xml:space="preserve"> </w:t>
      </w:r>
      <w:r w:rsidRPr="00643EF4">
        <w:rPr>
          <w:rFonts w:hint="eastAsia"/>
          <w:rtl/>
        </w:rPr>
        <w:t>שיקול</w:t>
      </w:r>
      <w:r w:rsidRPr="00643EF4">
        <w:rPr>
          <w:rtl/>
        </w:rPr>
        <w:t xml:space="preserve"> </w:t>
      </w:r>
      <w:r w:rsidRPr="00643EF4">
        <w:rPr>
          <w:rFonts w:hint="eastAsia"/>
          <w:rtl/>
        </w:rPr>
        <w:t>הדעת</w:t>
      </w:r>
      <w:r w:rsidRPr="00643EF4">
        <w:rPr>
          <w:rtl/>
        </w:rPr>
        <w:t xml:space="preserve"> </w:t>
      </w:r>
      <w:r w:rsidRPr="00643EF4">
        <w:rPr>
          <w:rFonts w:hint="eastAsia"/>
          <w:rtl/>
        </w:rPr>
        <w:t>הפרשני</w:t>
      </w:r>
      <w:r w:rsidRPr="00643EF4">
        <w:rPr>
          <w:rtl/>
        </w:rPr>
        <w:t xml:space="preserve">, </w:t>
      </w:r>
      <w:r w:rsidRPr="00643EF4">
        <w:rPr>
          <w:rFonts w:hint="eastAsia"/>
          <w:rtl/>
        </w:rPr>
        <w:t>רשאי</w:t>
      </w:r>
      <w:r w:rsidRPr="00643EF4">
        <w:rPr>
          <w:rtl/>
        </w:rPr>
        <w:t xml:space="preserve"> </w:t>
      </w:r>
      <w:r w:rsidRPr="00643EF4">
        <w:rPr>
          <w:rFonts w:hint="eastAsia"/>
          <w:rtl/>
        </w:rPr>
        <w:t>הפרשן</w:t>
      </w:r>
      <w:r w:rsidRPr="00643EF4">
        <w:rPr>
          <w:rtl/>
        </w:rPr>
        <w:t xml:space="preserve"> </w:t>
      </w:r>
      <w:r w:rsidRPr="00643EF4">
        <w:rPr>
          <w:rFonts w:hint="eastAsia"/>
          <w:rtl/>
        </w:rPr>
        <w:t>לבחור</w:t>
      </w:r>
      <w:r w:rsidRPr="00643EF4">
        <w:rPr>
          <w:rtl/>
        </w:rPr>
        <w:t xml:space="preserve"> </w:t>
      </w:r>
      <w:r w:rsidRPr="00643EF4">
        <w:rPr>
          <w:rFonts w:hint="eastAsia"/>
          <w:rtl/>
        </w:rPr>
        <w:t>באותה</w:t>
      </w:r>
      <w:r w:rsidRPr="00643EF4">
        <w:rPr>
          <w:rtl/>
        </w:rPr>
        <w:t xml:space="preserve"> </w:t>
      </w:r>
      <w:r w:rsidRPr="00643EF4">
        <w:rPr>
          <w:rFonts w:hint="eastAsia"/>
          <w:rtl/>
        </w:rPr>
        <w:t>תכלית</w:t>
      </w:r>
      <w:r w:rsidRPr="00643EF4">
        <w:rPr>
          <w:rtl/>
        </w:rPr>
        <w:t xml:space="preserve"> </w:t>
      </w:r>
      <w:r w:rsidRPr="00643EF4">
        <w:rPr>
          <w:rFonts w:hint="eastAsia"/>
          <w:rtl/>
        </w:rPr>
        <w:t>מבין</w:t>
      </w:r>
      <w:r w:rsidRPr="00643EF4">
        <w:rPr>
          <w:rtl/>
        </w:rPr>
        <w:t xml:space="preserve"> </w:t>
      </w:r>
      <w:r w:rsidRPr="00643EF4">
        <w:rPr>
          <w:rFonts w:hint="eastAsia"/>
          <w:rtl/>
        </w:rPr>
        <w:t>מגוון</w:t>
      </w:r>
      <w:r w:rsidRPr="00643EF4">
        <w:rPr>
          <w:rtl/>
        </w:rPr>
        <w:t xml:space="preserve"> </w:t>
      </w:r>
      <w:r w:rsidRPr="00643EF4">
        <w:rPr>
          <w:rFonts w:hint="eastAsia"/>
          <w:rtl/>
        </w:rPr>
        <w:t>תכליות</w:t>
      </w:r>
      <w:r w:rsidRPr="00643EF4">
        <w:rPr>
          <w:rtl/>
        </w:rPr>
        <w:t xml:space="preserve"> </w:t>
      </w:r>
      <w:r w:rsidRPr="00643EF4">
        <w:rPr>
          <w:rFonts w:hint="eastAsia"/>
          <w:rtl/>
        </w:rPr>
        <w:t>דבר</w:t>
      </w:r>
      <w:r w:rsidRPr="00643EF4">
        <w:rPr>
          <w:rtl/>
        </w:rPr>
        <w:t xml:space="preserve"> </w:t>
      </w:r>
      <w:r w:rsidRPr="00643EF4">
        <w:rPr>
          <w:rFonts w:hint="eastAsia"/>
          <w:rtl/>
        </w:rPr>
        <w:t>החקיקה</w:t>
      </w:r>
      <w:r w:rsidRPr="00643EF4">
        <w:rPr>
          <w:rtl/>
        </w:rPr>
        <w:t xml:space="preserve"> </w:t>
      </w:r>
      <w:r w:rsidRPr="00643EF4">
        <w:rPr>
          <w:rFonts w:hint="eastAsia"/>
          <w:rtl/>
        </w:rPr>
        <w:t>אשר</w:t>
      </w:r>
      <w:r w:rsidRPr="00643EF4">
        <w:rPr>
          <w:rtl/>
        </w:rPr>
        <w:t xml:space="preserve"> </w:t>
      </w:r>
      <w:r w:rsidRPr="00643EF4">
        <w:rPr>
          <w:rFonts w:hint="eastAsia"/>
          <w:rtl/>
        </w:rPr>
        <w:t>עוברת</w:t>
      </w:r>
      <w:r w:rsidRPr="00643EF4">
        <w:rPr>
          <w:rtl/>
        </w:rPr>
        <w:t xml:space="preserve"> </w:t>
      </w:r>
      <w:r w:rsidRPr="00643EF4">
        <w:rPr>
          <w:rFonts w:hint="eastAsia"/>
          <w:rtl/>
        </w:rPr>
        <w:t>את</w:t>
      </w:r>
      <w:r w:rsidRPr="00643EF4">
        <w:rPr>
          <w:rtl/>
        </w:rPr>
        <w:t xml:space="preserve"> </w:t>
      </w:r>
      <w:r w:rsidRPr="00643EF4">
        <w:rPr>
          <w:rFonts w:hint="eastAsia"/>
          <w:rtl/>
        </w:rPr>
        <w:t>המבחן</w:t>
      </w:r>
      <w:r w:rsidRPr="00643EF4">
        <w:rPr>
          <w:rtl/>
        </w:rPr>
        <w:t xml:space="preserve"> </w:t>
      </w:r>
      <w:r w:rsidRPr="00643EF4">
        <w:rPr>
          <w:rFonts w:hint="eastAsia"/>
          <w:rtl/>
        </w:rPr>
        <w:t>החוקתי</w:t>
      </w:r>
      <w:r w:rsidRPr="00643EF4">
        <w:rPr>
          <w:rtl/>
        </w:rPr>
        <w:t xml:space="preserve"> </w:t>
      </w:r>
      <w:r w:rsidRPr="00643EF4">
        <w:rPr>
          <w:rFonts w:hint="eastAsia"/>
          <w:rtl/>
        </w:rPr>
        <w:t>של</w:t>
      </w:r>
      <w:r w:rsidRPr="00643EF4">
        <w:rPr>
          <w:rtl/>
        </w:rPr>
        <w:t xml:space="preserve"> </w:t>
      </w:r>
      <w:r w:rsidRPr="00643EF4">
        <w:rPr>
          <w:rFonts w:hint="eastAsia"/>
          <w:rtl/>
        </w:rPr>
        <w:t>פסקת</w:t>
      </w:r>
      <w:r w:rsidRPr="00643EF4">
        <w:rPr>
          <w:rtl/>
        </w:rPr>
        <w:t xml:space="preserve"> </w:t>
      </w:r>
      <w:r w:rsidRPr="00643EF4">
        <w:rPr>
          <w:rFonts w:hint="eastAsia"/>
          <w:rtl/>
        </w:rPr>
        <w:t>ההגבלה</w:t>
      </w:r>
      <w:r w:rsidRPr="00643EF4">
        <w:rPr>
          <w:rtl/>
        </w:rPr>
        <w:t xml:space="preserve"> </w:t>
      </w:r>
      <w:r w:rsidRPr="00643EF4">
        <w:rPr>
          <w:rFonts w:hint="cs"/>
          <w:rtl/>
        </w:rPr>
        <w:t xml:space="preserve">- ראו </w:t>
      </w:r>
      <w:r w:rsidRPr="00643EF4">
        <w:rPr>
          <w:rFonts w:ascii="Century" w:hAnsi="Century" w:hint="cs"/>
          <w:sz w:val="22"/>
          <w:rtl/>
        </w:rPr>
        <w:t>אהרן</w:t>
      </w:r>
      <w:r w:rsidRPr="00643EF4">
        <w:rPr>
          <w:rFonts w:ascii="Century" w:hAnsi="Century"/>
          <w:sz w:val="22"/>
          <w:rtl/>
        </w:rPr>
        <w:t xml:space="preserve"> ברק</w:t>
      </w:r>
      <w:r w:rsidRPr="00643EF4">
        <w:rPr>
          <w:rtl/>
        </w:rPr>
        <w:t xml:space="preserve"> </w:t>
      </w:r>
      <w:r w:rsidRPr="00643EF4">
        <w:rPr>
          <w:rFonts w:ascii="Century" w:hAnsi="Century" w:cs="Miriam"/>
          <w:b/>
          <w:sz w:val="22"/>
          <w:szCs w:val="24"/>
          <w:rtl/>
        </w:rPr>
        <w:t>פרשנות במשפט</w:t>
      </w:r>
      <w:r w:rsidRPr="00643EF4">
        <w:rPr>
          <w:rFonts w:hint="cs"/>
          <w:rtl/>
        </w:rPr>
        <w:t xml:space="preserve"> - </w:t>
      </w:r>
      <w:r w:rsidRPr="00643EF4">
        <w:rPr>
          <w:rFonts w:ascii="Century" w:hAnsi="Century" w:cs="Miriam" w:hint="cs"/>
          <w:b/>
          <w:sz w:val="22"/>
          <w:szCs w:val="24"/>
          <w:rtl/>
        </w:rPr>
        <w:t>כרך שלישי: פרשנות חוקתית</w:t>
      </w:r>
      <w:r w:rsidRPr="00643EF4">
        <w:rPr>
          <w:rFonts w:hint="cs"/>
          <w:rtl/>
        </w:rPr>
        <w:t xml:space="preserve"> </w:t>
      </w:r>
      <w:r w:rsidRPr="00643EF4">
        <w:rPr>
          <w:rtl/>
        </w:rPr>
        <w:t>534-533</w:t>
      </w:r>
      <w:r w:rsidRPr="00643EF4">
        <w:rPr>
          <w:rFonts w:hint="cs"/>
          <w:rtl/>
        </w:rPr>
        <w:t xml:space="preserve"> (1995))</w:t>
      </w:r>
      <w:r w:rsidRPr="00643EF4">
        <w:rPr>
          <w:rtl/>
        </w:rPr>
        <w:t>.</w:t>
      </w:r>
      <w:r w:rsidRPr="00643EF4">
        <w:rPr>
          <w:rFonts w:hint="cs"/>
          <w:rtl/>
        </w:rPr>
        <w:t xml:space="preserve"> בענייננו, אין צורך להכריע בשאלה זו, שכן גם אם נניח שנמצאה לחוק ההסדרה תכלית ראויה, פסקת ההגבלה שבחוק יסוד: כבוד האדם וחירותו, אינה מסתפקת בכך והיא קובעת מבחן נוסף, הוא מבחן המידתיות. בעוד שמבחן התכלית עוסק במטרות שאותן מבקש דבר חקיקה להגשים, מבחן המידתיות בוחן באופן קונקרטי האם פגיעתו של האמצעי שנבחר </w:t>
      </w:r>
      <w:r w:rsidRPr="00643EF4">
        <w:rPr>
          <w:rtl/>
        </w:rPr>
        <w:t>–</w:t>
      </w:r>
      <w:r w:rsidRPr="00643EF4">
        <w:rPr>
          <w:rFonts w:hint="cs"/>
          <w:rtl/>
        </w:rPr>
        <w:t xml:space="preserve"> דבר החקיקה הספציפי על הוראותיו הפרטניות </w:t>
      </w:r>
      <w:r w:rsidRPr="00643EF4">
        <w:rPr>
          <w:rtl/>
        </w:rPr>
        <w:t>–</w:t>
      </w:r>
      <w:r w:rsidRPr="00643EF4">
        <w:rPr>
          <w:rFonts w:hint="cs"/>
          <w:rtl/>
        </w:rPr>
        <w:t xml:space="preserve"> אינה עולה על הנדרש. </w:t>
      </w:r>
    </w:p>
    <w:p w14:paraId="7CE5013C" w14:textId="417CFEC4" w:rsidR="00066564" w:rsidRPr="00643EF4" w:rsidRDefault="00066564" w:rsidP="00066564">
      <w:pPr>
        <w:pStyle w:val="Ruller41"/>
        <w:rPr>
          <w:rtl/>
        </w:rPr>
      </w:pPr>
    </w:p>
    <w:p w14:paraId="73468E40" w14:textId="4B8222B5" w:rsidR="00066564" w:rsidRPr="00643EF4" w:rsidRDefault="00066564" w:rsidP="00066564">
      <w:pPr>
        <w:pStyle w:val="Ruller41"/>
        <w:rPr>
          <w:rtl/>
        </w:rPr>
      </w:pPr>
      <w:r w:rsidRPr="00643EF4">
        <w:rPr>
          <w:rtl/>
        </w:rPr>
        <w:tab/>
      </w:r>
      <w:r w:rsidRPr="00643EF4">
        <w:rPr>
          <w:rFonts w:hint="cs"/>
          <w:rtl/>
        </w:rPr>
        <w:t>לבחינת מידתיות החוק אפנה עתה.</w:t>
      </w:r>
    </w:p>
    <w:p w14:paraId="4A220DA7" w14:textId="77777777" w:rsidR="00190218" w:rsidRPr="00643EF4" w:rsidRDefault="00190218" w:rsidP="000E5D20">
      <w:pPr>
        <w:pStyle w:val="Ruller41"/>
        <w:rPr>
          <w:rFonts w:ascii="Century" w:hAnsi="Century" w:cs="Miriam"/>
          <w:b/>
          <w:spacing w:val="0"/>
          <w:szCs w:val="24"/>
          <w:rtl/>
        </w:rPr>
      </w:pPr>
    </w:p>
    <w:p w14:paraId="77BBD196" w14:textId="350634BD"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 xml:space="preserve">מידתיות החוק </w:t>
      </w:r>
    </w:p>
    <w:p w14:paraId="7B646F8F" w14:textId="77777777" w:rsidR="000E5D20" w:rsidRPr="00643EF4" w:rsidRDefault="000E5D20" w:rsidP="000E5D20">
      <w:pPr>
        <w:pStyle w:val="Ruller4"/>
        <w:numPr>
          <w:ilvl w:val="0"/>
          <w:numId w:val="0"/>
        </w:numPr>
      </w:pPr>
    </w:p>
    <w:p w14:paraId="5718BBC1" w14:textId="77777777" w:rsidR="000E5D20" w:rsidRPr="00643EF4" w:rsidRDefault="000E5D20" w:rsidP="000E5D20">
      <w:pPr>
        <w:pStyle w:val="Ruller4"/>
        <w:tabs>
          <w:tab w:val="num" w:pos="10307"/>
        </w:tabs>
      </w:pPr>
      <w:r w:rsidRPr="00643EF4">
        <w:rPr>
          <w:rFonts w:hint="cs"/>
          <w:rtl/>
        </w:rPr>
        <w:t>בחינת מידתי</w:t>
      </w:r>
      <w:r w:rsidRPr="00643EF4">
        <w:rPr>
          <w:rFonts w:ascii="Century" w:hAnsi="Century" w:hint="eastAsia"/>
          <w:sz w:val="22"/>
          <w:rtl/>
        </w:rPr>
        <w:t>ות</w:t>
      </w:r>
      <w:r w:rsidRPr="00643EF4">
        <w:rPr>
          <w:rFonts w:ascii="Century" w:hAnsi="Century" w:hint="cs"/>
          <w:sz w:val="22"/>
          <w:rtl/>
        </w:rPr>
        <w:t xml:space="preserve"> פגיעתו של דבר חקיקה בזכויות נסמכת על שלושה </w:t>
      </w:r>
      <w:r w:rsidRPr="00643EF4">
        <w:rPr>
          <w:rFonts w:ascii="Century" w:hAnsi="Century" w:hint="eastAsia"/>
          <w:sz w:val="22"/>
          <w:rtl/>
        </w:rPr>
        <w:t>מבחני</w:t>
      </w:r>
      <w:r w:rsidRPr="00643EF4">
        <w:rPr>
          <w:rFonts w:ascii="Century" w:hAnsi="Century"/>
          <w:sz w:val="22"/>
          <w:rtl/>
        </w:rPr>
        <w:t xml:space="preserve"> </w:t>
      </w:r>
      <w:r w:rsidRPr="00643EF4">
        <w:rPr>
          <w:rFonts w:ascii="Century" w:hAnsi="Century" w:hint="eastAsia"/>
          <w:sz w:val="22"/>
          <w:rtl/>
        </w:rPr>
        <w:t>משנה</w:t>
      </w:r>
      <w:r w:rsidRPr="00643EF4">
        <w:rPr>
          <w:rFonts w:ascii="Century" w:hAnsi="Century"/>
          <w:sz w:val="22"/>
          <w:rtl/>
        </w:rPr>
        <w:t>: (</w:t>
      </w:r>
      <w:r w:rsidRPr="00643EF4">
        <w:rPr>
          <w:rFonts w:ascii="Century" w:hAnsi="Century" w:hint="eastAsia"/>
          <w:sz w:val="22"/>
          <w:rtl/>
        </w:rPr>
        <w:t>א</w:t>
      </w:r>
      <w:r w:rsidRPr="00643EF4">
        <w:rPr>
          <w:rFonts w:ascii="Century" w:hAnsi="Century"/>
          <w:sz w:val="22"/>
          <w:rtl/>
        </w:rPr>
        <w:t xml:space="preserve">) </w:t>
      </w:r>
      <w:r w:rsidRPr="00643EF4">
        <w:rPr>
          <w:rFonts w:ascii="Century" w:hAnsi="Century" w:hint="eastAsia"/>
          <w:sz w:val="22"/>
          <w:rtl/>
        </w:rPr>
        <w:t>מבחן</w:t>
      </w:r>
      <w:r w:rsidRPr="00643EF4">
        <w:rPr>
          <w:rFonts w:ascii="Century" w:hAnsi="Century"/>
          <w:sz w:val="22"/>
          <w:rtl/>
        </w:rPr>
        <w:t xml:space="preserve"> </w:t>
      </w:r>
      <w:r w:rsidRPr="00643EF4">
        <w:rPr>
          <w:rFonts w:ascii="Century" w:hAnsi="Century" w:hint="eastAsia"/>
          <w:sz w:val="22"/>
          <w:rtl/>
        </w:rPr>
        <w:t>ההתאמה</w:t>
      </w:r>
      <w:r w:rsidRPr="00643EF4">
        <w:rPr>
          <w:rFonts w:ascii="Century" w:hAnsi="Century"/>
          <w:sz w:val="22"/>
          <w:rtl/>
        </w:rPr>
        <w:t xml:space="preserve"> </w:t>
      </w:r>
      <w:r w:rsidRPr="00643EF4">
        <w:rPr>
          <w:rFonts w:ascii="Century" w:hAnsi="Century" w:hint="eastAsia"/>
          <w:sz w:val="22"/>
          <w:rtl/>
        </w:rPr>
        <w:t>או</w:t>
      </w:r>
      <w:r w:rsidRPr="00643EF4">
        <w:rPr>
          <w:rFonts w:ascii="Century" w:hAnsi="Century"/>
          <w:sz w:val="22"/>
          <w:rtl/>
        </w:rPr>
        <w:t xml:space="preserve"> </w:t>
      </w:r>
      <w:r w:rsidRPr="00643EF4">
        <w:rPr>
          <w:rFonts w:ascii="Century" w:hAnsi="Century" w:hint="eastAsia"/>
          <w:sz w:val="22"/>
          <w:rtl/>
        </w:rPr>
        <w:t>מבחן</w:t>
      </w:r>
      <w:r w:rsidRPr="00643EF4">
        <w:rPr>
          <w:rFonts w:ascii="Century" w:hAnsi="Century"/>
          <w:sz w:val="22"/>
          <w:rtl/>
        </w:rPr>
        <w:t xml:space="preserve"> </w:t>
      </w:r>
      <w:r w:rsidRPr="00643EF4">
        <w:rPr>
          <w:rFonts w:ascii="Century" w:hAnsi="Century" w:hint="eastAsia"/>
          <w:sz w:val="22"/>
          <w:rtl/>
        </w:rPr>
        <w:t>הקשר</w:t>
      </w:r>
      <w:r w:rsidRPr="00643EF4">
        <w:rPr>
          <w:rFonts w:ascii="Century" w:hAnsi="Century"/>
          <w:sz w:val="22"/>
          <w:rtl/>
        </w:rPr>
        <w:t xml:space="preserve"> </w:t>
      </w:r>
      <w:r w:rsidRPr="00643EF4">
        <w:rPr>
          <w:rFonts w:ascii="Century" w:hAnsi="Century" w:hint="eastAsia"/>
          <w:sz w:val="22"/>
          <w:rtl/>
        </w:rPr>
        <w:t>הרציונלי</w:t>
      </w:r>
      <w:r w:rsidRPr="00643EF4">
        <w:rPr>
          <w:rFonts w:ascii="Century" w:hAnsi="Century"/>
          <w:sz w:val="22"/>
          <w:rtl/>
        </w:rPr>
        <w:t>; (</w:t>
      </w:r>
      <w:r w:rsidRPr="00643EF4">
        <w:rPr>
          <w:rFonts w:ascii="Century" w:hAnsi="Century" w:hint="eastAsia"/>
          <w:sz w:val="22"/>
          <w:rtl/>
        </w:rPr>
        <w:t>ב</w:t>
      </w:r>
      <w:r w:rsidRPr="00643EF4">
        <w:rPr>
          <w:rFonts w:ascii="Century" w:hAnsi="Century"/>
          <w:sz w:val="22"/>
          <w:rtl/>
        </w:rPr>
        <w:t xml:space="preserve">) </w:t>
      </w:r>
      <w:r w:rsidRPr="00643EF4">
        <w:rPr>
          <w:rFonts w:ascii="Century" w:hAnsi="Century" w:hint="eastAsia"/>
          <w:sz w:val="22"/>
          <w:rtl/>
        </w:rPr>
        <w:t>מבחן</w:t>
      </w:r>
      <w:r w:rsidRPr="00643EF4">
        <w:rPr>
          <w:rFonts w:ascii="Century" w:hAnsi="Century"/>
          <w:sz w:val="22"/>
          <w:rtl/>
        </w:rPr>
        <w:t xml:space="preserve"> </w:t>
      </w:r>
      <w:r w:rsidRPr="00643EF4">
        <w:rPr>
          <w:rFonts w:ascii="Century" w:hAnsi="Century" w:hint="eastAsia"/>
          <w:sz w:val="22"/>
          <w:rtl/>
        </w:rPr>
        <w:t>האמצעי</w:t>
      </w:r>
      <w:r w:rsidRPr="00643EF4">
        <w:rPr>
          <w:rFonts w:ascii="Century" w:hAnsi="Century"/>
          <w:sz w:val="22"/>
          <w:rtl/>
        </w:rPr>
        <w:t xml:space="preserve"> </w:t>
      </w:r>
      <w:r w:rsidRPr="00643EF4">
        <w:rPr>
          <w:rFonts w:ascii="Century" w:hAnsi="Century" w:hint="eastAsia"/>
          <w:sz w:val="22"/>
          <w:rtl/>
        </w:rPr>
        <w:t>שפגיעתו</w:t>
      </w:r>
      <w:r w:rsidRPr="00643EF4">
        <w:rPr>
          <w:rFonts w:ascii="Century" w:hAnsi="Century"/>
          <w:sz w:val="22"/>
          <w:rtl/>
        </w:rPr>
        <w:t xml:space="preserve"> </w:t>
      </w:r>
      <w:r w:rsidRPr="00643EF4">
        <w:rPr>
          <w:rFonts w:ascii="Century" w:hAnsi="Century" w:hint="eastAsia"/>
          <w:sz w:val="22"/>
          <w:rtl/>
        </w:rPr>
        <w:t>פחותה</w:t>
      </w:r>
      <w:r w:rsidRPr="00643EF4">
        <w:rPr>
          <w:rFonts w:ascii="Century" w:hAnsi="Century"/>
          <w:sz w:val="22"/>
          <w:rtl/>
        </w:rPr>
        <w:t>; (</w:t>
      </w:r>
      <w:r w:rsidRPr="00643EF4">
        <w:rPr>
          <w:rFonts w:ascii="Century" w:hAnsi="Century" w:hint="eastAsia"/>
          <w:sz w:val="22"/>
          <w:rtl/>
        </w:rPr>
        <w:t>ג</w:t>
      </w:r>
      <w:r w:rsidRPr="00643EF4">
        <w:rPr>
          <w:rFonts w:ascii="Century" w:hAnsi="Century"/>
          <w:sz w:val="22"/>
          <w:rtl/>
        </w:rPr>
        <w:t xml:space="preserve">) </w:t>
      </w:r>
      <w:r w:rsidRPr="00643EF4">
        <w:rPr>
          <w:rFonts w:ascii="Century" w:hAnsi="Century" w:hint="eastAsia"/>
          <w:sz w:val="22"/>
          <w:rtl/>
        </w:rPr>
        <w:t>מבחן</w:t>
      </w:r>
      <w:r w:rsidRPr="00643EF4">
        <w:rPr>
          <w:rFonts w:ascii="Century" w:hAnsi="Century"/>
          <w:sz w:val="22"/>
          <w:rtl/>
        </w:rPr>
        <w:t xml:space="preserve"> </w:t>
      </w:r>
      <w:r w:rsidRPr="00643EF4">
        <w:rPr>
          <w:rFonts w:ascii="Century" w:hAnsi="Century" w:hint="eastAsia"/>
          <w:sz w:val="22"/>
          <w:rtl/>
        </w:rPr>
        <w:t>המידתיות</w:t>
      </w:r>
      <w:r w:rsidRPr="00643EF4">
        <w:rPr>
          <w:rFonts w:ascii="Century" w:hAnsi="Century"/>
          <w:sz w:val="22"/>
          <w:rtl/>
        </w:rPr>
        <w:t xml:space="preserve"> </w:t>
      </w:r>
      <w:r w:rsidRPr="00643EF4">
        <w:rPr>
          <w:rFonts w:ascii="Century" w:hAnsi="Century" w:hint="eastAsia"/>
          <w:sz w:val="22"/>
          <w:rtl/>
        </w:rPr>
        <w:t>ב</w:t>
      </w:r>
      <w:r w:rsidRPr="00643EF4">
        <w:rPr>
          <w:rFonts w:ascii="Century" w:hAnsi="Century" w:hint="cs"/>
          <w:sz w:val="22"/>
          <w:rtl/>
        </w:rPr>
        <w:t>"</w:t>
      </w:r>
      <w:r w:rsidRPr="00643EF4">
        <w:rPr>
          <w:rFonts w:ascii="Century" w:hAnsi="Century" w:hint="eastAsia"/>
          <w:sz w:val="22"/>
          <w:rtl/>
        </w:rPr>
        <w:t>מובן</w:t>
      </w:r>
      <w:r w:rsidRPr="00643EF4">
        <w:rPr>
          <w:rFonts w:ascii="Century" w:hAnsi="Century"/>
          <w:sz w:val="22"/>
          <w:rtl/>
        </w:rPr>
        <w:t xml:space="preserve"> </w:t>
      </w:r>
      <w:r w:rsidRPr="00643EF4">
        <w:rPr>
          <w:rFonts w:ascii="Century" w:hAnsi="Century" w:hint="eastAsia"/>
          <w:sz w:val="22"/>
          <w:rtl/>
        </w:rPr>
        <w:t>הצר</w:t>
      </w:r>
      <w:r w:rsidRPr="00643EF4">
        <w:rPr>
          <w:rFonts w:ascii="Century" w:hAnsi="Century" w:hint="cs"/>
          <w:sz w:val="22"/>
          <w:rtl/>
        </w:rPr>
        <w:t>"</w:t>
      </w:r>
      <w:r w:rsidRPr="00643EF4">
        <w:rPr>
          <w:rFonts w:ascii="Century" w:hAnsi="Century"/>
          <w:sz w:val="22"/>
          <w:rtl/>
        </w:rPr>
        <w:t xml:space="preserve">. </w:t>
      </w:r>
    </w:p>
    <w:p w14:paraId="6AE7D039" w14:textId="77777777" w:rsidR="000E5D20" w:rsidRPr="00643EF4" w:rsidRDefault="000E5D20" w:rsidP="000E5D20">
      <w:pPr>
        <w:pStyle w:val="Ruller4"/>
        <w:numPr>
          <w:ilvl w:val="0"/>
          <w:numId w:val="0"/>
        </w:numPr>
        <w:rPr>
          <w:rtl/>
        </w:rPr>
      </w:pPr>
    </w:p>
    <w:p w14:paraId="5A2C173D"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(א) מבחן הקשר הרציונלי</w:t>
      </w:r>
    </w:p>
    <w:p w14:paraId="688454CD" w14:textId="77777777" w:rsidR="000E5D20" w:rsidRPr="00643EF4" w:rsidRDefault="000E5D20" w:rsidP="000E5D20">
      <w:pPr>
        <w:pStyle w:val="Ruller41"/>
        <w:rPr>
          <w:rFonts w:ascii="Century" w:hAnsi="Century" w:cs="Miriam"/>
          <w:b/>
          <w:spacing w:val="0"/>
          <w:szCs w:val="24"/>
          <w:rtl/>
        </w:rPr>
      </w:pPr>
    </w:p>
    <w:p w14:paraId="37B62DEA" w14:textId="77777777" w:rsidR="000E5D20" w:rsidRPr="00643EF4" w:rsidRDefault="000E5D20" w:rsidP="000E5D20">
      <w:pPr>
        <w:pStyle w:val="Ruller4"/>
        <w:tabs>
          <w:tab w:val="num" w:pos="10307"/>
        </w:tabs>
      </w:pPr>
      <w:r w:rsidRPr="00643EF4">
        <w:rPr>
          <w:rFonts w:hint="cs"/>
          <w:rtl/>
        </w:rPr>
        <w:t>הממשלה, הכנסת ומועצת מטה בנימין טענו כי החוק, על שני מסלולי ההסדרה הקבועים בו, הוא אמצעי ראוי להגשמת תכליותיו. אכן, דומה כי לא ניתן לחלוק על כך שנטילת זכויות חזקה ושימוש במקרקעין מבעליהן והעברתן לידי המתיישבים הישראלים לפי המסלול הקבוע בסעיף 3(2) לחוק, או הכרזה על מקרקעין שעליהם בנויה התיישבות ישראלית כעל "רכוש ממשלתי" תוך הקצאת זכויות השימוש בה לפי המסלול הקבוע בסעיף 3(1) לחוק,</w:t>
      </w:r>
      <w:r w:rsidRPr="00643EF4" w:rsidDel="001B1E92">
        <w:rPr>
          <w:rFonts w:hint="cs"/>
          <w:rtl/>
        </w:rPr>
        <w:t xml:space="preserve"> </w:t>
      </w:r>
      <w:r w:rsidRPr="00643EF4">
        <w:rPr>
          <w:rFonts w:hint="cs"/>
          <w:rtl/>
        </w:rPr>
        <w:t xml:space="preserve">לטובת אותו יישוב ישראלי, יש בהם כדי לקדם את התכליות המרכזיות שעליהן עמדו הממשלה, הכנסת ומועצת מטה בנימין. </w:t>
      </w:r>
    </w:p>
    <w:p w14:paraId="630C43FF" w14:textId="77777777" w:rsidR="000E5D20" w:rsidRPr="00643EF4" w:rsidRDefault="000E5D20" w:rsidP="000E5D20">
      <w:pPr>
        <w:pStyle w:val="Ruller4"/>
        <w:numPr>
          <w:ilvl w:val="0"/>
          <w:numId w:val="0"/>
        </w:numPr>
        <w:tabs>
          <w:tab w:val="num" w:pos="9587"/>
        </w:tabs>
        <w:rPr>
          <w:rtl/>
        </w:rPr>
      </w:pPr>
    </w:p>
    <w:p w14:paraId="68996D3E" w14:textId="304676F1" w:rsidR="000E5D20" w:rsidRPr="00643EF4" w:rsidRDefault="000E5D20" w:rsidP="004C6418">
      <w:pPr>
        <w:pStyle w:val="Ruller4"/>
        <w:numPr>
          <w:ilvl w:val="0"/>
          <w:numId w:val="0"/>
        </w:numPr>
        <w:tabs>
          <w:tab w:val="num" w:pos="9587"/>
        </w:tabs>
        <w:rPr>
          <w:rtl/>
        </w:rPr>
      </w:pPr>
      <w:r w:rsidRPr="00643EF4">
        <w:rPr>
          <w:rtl/>
        </w:rPr>
        <w:tab/>
      </w:r>
      <w:r w:rsidRPr="00643EF4">
        <w:rPr>
          <w:rFonts w:hint="cs"/>
          <w:rtl/>
        </w:rPr>
        <w:t>עם זאת, מצאתי</w:t>
      </w:r>
      <w:r w:rsidR="004C6418" w:rsidRPr="00643EF4">
        <w:rPr>
          <w:rFonts w:hint="cs"/>
          <w:rtl/>
        </w:rPr>
        <w:t>,</w:t>
      </w:r>
      <w:r w:rsidRPr="00643EF4">
        <w:rPr>
          <w:rFonts w:hint="cs"/>
          <w:rtl/>
        </w:rPr>
        <w:t xml:space="preserve"> </w:t>
      </w:r>
      <w:r w:rsidR="004C6418" w:rsidRPr="00643EF4">
        <w:rPr>
          <w:rFonts w:hint="cs"/>
          <w:rtl/>
        </w:rPr>
        <w:t>כאמור, ש</w:t>
      </w:r>
      <w:r w:rsidRPr="00643EF4">
        <w:rPr>
          <w:rFonts w:hint="cs"/>
          <w:rtl/>
        </w:rPr>
        <w:t>רק התכלית בדבר מניעת הריסת ופינוי בתים שנבנו בתום לב ובאישור הרשויות המוסמכות היא תכלית ראויה. בהתחשב בכך, המסקנה כי בענייננו מתקיים מבחן הקשר הרציונאלי אינה חפה מקשיים וכבר נפסק כי מבחן הקשר הרציונלי אינו מבחן של קשר סיבתי גרידא בין האמצעי לתכלית וכי "</w:t>
      </w:r>
      <w:r w:rsidRPr="00643EF4">
        <w:rPr>
          <w:rFonts w:hint="eastAsia"/>
          <w:sz w:val="28"/>
          <w:rtl/>
        </w:rPr>
        <w:t>הדגש</w:t>
      </w:r>
      <w:r w:rsidRPr="00643EF4">
        <w:rPr>
          <w:sz w:val="28"/>
          <w:rtl/>
        </w:rPr>
        <w:t xml:space="preserve"> </w:t>
      </w:r>
      <w:r w:rsidRPr="00643EF4">
        <w:rPr>
          <w:rFonts w:hint="eastAsia"/>
          <w:sz w:val="28"/>
          <w:rtl/>
        </w:rPr>
        <w:t>במבחן</w:t>
      </w:r>
      <w:r w:rsidRPr="00643EF4">
        <w:rPr>
          <w:sz w:val="28"/>
          <w:rtl/>
        </w:rPr>
        <w:t xml:space="preserve"> </w:t>
      </w:r>
      <w:r w:rsidRPr="00643EF4">
        <w:rPr>
          <w:rFonts w:hint="eastAsia"/>
          <w:sz w:val="28"/>
          <w:rtl/>
        </w:rPr>
        <w:t>הקשר</w:t>
      </w:r>
      <w:r w:rsidRPr="00643EF4">
        <w:rPr>
          <w:sz w:val="28"/>
          <w:rtl/>
        </w:rPr>
        <w:t xml:space="preserve"> </w:t>
      </w:r>
      <w:r w:rsidRPr="00643EF4">
        <w:rPr>
          <w:rFonts w:hint="eastAsia"/>
          <w:sz w:val="28"/>
          <w:rtl/>
        </w:rPr>
        <w:lastRenderedPageBreak/>
        <w:t>הרציונלי</w:t>
      </w:r>
      <w:r w:rsidRPr="00643EF4">
        <w:rPr>
          <w:sz w:val="28"/>
          <w:rtl/>
        </w:rPr>
        <w:t xml:space="preserve"> </w:t>
      </w:r>
      <w:r w:rsidRPr="00643EF4">
        <w:rPr>
          <w:rFonts w:hint="eastAsia"/>
          <w:sz w:val="28"/>
          <w:rtl/>
        </w:rPr>
        <w:t>הוא</w:t>
      </w:r>
      <w:r w:rsidRPr="00643EF4">
        <w:rPr>
          <w:sz w:val="28"/>
          <w:rtl/>
        </w:rPr>
        <w:t xml:space="preserve"> </w:t>
      </w:r>
      <w:r w:rsidRPr="00643EF4">
        <w:rPr>
          <w:rFonts w:hint="eastAsia"/>
          <w:sz w:val="28"/>
          <w:rtl/>
        </w:rPr>
        <w:t>על</w:t>
      </w:r>
      <w:r w:rsidRPr="00643EF4">
        <w:rPr>
          <w:sz w:val="28"/>
          <w:rtl/>
        </w:rPr>
        <w:t xml:space="preserve"> </w:t>
      </w:r>
      <w:r w:rsidRPr="00643EF4">
        <w:rPr>
          <w:rFonts w:hint="eastAsia"/>
          <w:sz w:val="28"/>
          <w:rtl/>
        </w:rPr>
        <w:t>היותו</w:t>
      </w:r>
      <w:r w:rsidRPr="00643EF4">
        <w:rPr>
          <w:sz w:val="28"/>
          <w:rtl/>
        </w:rPr>
        <w:t xml:space="preserve"> </w:t>
      </w:r>
      <w:r w:rsidRPr="00643EF4">
        <w:rPr>
          <w:rFonts w:hint="eastAsia"/>
          <w:sz w:val="28"/>
          <w:rtl/>
        </w:rPr>
        <w:t>של</w:t>
      </w:r>
      <w:r w:rsidRPr="00643EF4">
        <w:rPr>
          <w:sz w:val="28"/>
          <w:rtl/>
        </w:rPr>
        <w:t xml:space="preserve"> </w:t>
      </w:r>
      <w:r w:rsidRPr="00643EF4">
        <w:rPr>
          <w:rFonts w:hint="eastAsia"/>
          <w:sz w:val="28"/>
          <w:rtl/>
        </w:rPr>
        <w:t>הקשר</w:t>
      </w:r>
      <w:r w:rsidRPr="00643EF4">
        <w:rPr>
          <w:sz w:val="28"/>
          <w:rtl/>
        </w:rPr>
        <w:t xml:space="preserve"> </w:t>
      </w:r>
      <w:r w:rsidRPr="00643EF4">
        <w:rPr>
          <w:rFonts w:cs="Miriam" w:hint="eastAsia"/>
          <w:spacing w:val="0"/>
          <w:szCs w:val="24"/>
          <w:rtl/>
        </w:rPr>
        <w:t>רציונלי</w:t>
      </w:r>
      <w:r w:rsidRPr="00643EF4">
        <w:rPr>
          <w:sz w:val="28"/>
          <w:rtl/>
        </w:rPr>
        <w:t xml:space="preserve">. </w:t>
      </w:r>
      <w:r w:rsidRPr="00643EF4">
        <w:rPr>
          <w:rFonts w:hint="eastAsia"/>
          <w:sz w:val="28"/>
          <w:rtl/>
        </w:rPr>
        <w:t>משמעות</w:t>
      </w:r>
      <w:r w:rsidRPr="00643EF4">
        <w:rPr>
          <w:sz w:val="28"/>
          <w:rtl/>
        </w:rPr>
        <w:t xml:space="preserve"> </w:t>
      </w:r>
      <w:r w:rsidRPr="00643EF4">
        <w:rPr>
          <w:rFonts w:hint="eastAsia"/>
          <w:sz w:val="28"/>
          <w:rtl/>
        </w:rPr>
        <w:t>הדבר</w:t>
      </w:r>
      <w:r w:rsidRPr="00643EF4">
        <w:rPr>
          <w:sz w:val="28"/>
          <w:rtl/>
        </w:rPr>
        <w:t xml:space="preserve"> </w:t>
      </w:r>
      <w:r w:rsidRPr="00643EF4">
        <w:rPr>
          <w:rFonts w:hint="eastAsia"/>
          <w:sz w:val="28"/>
          <w:rtl/>
        </w:rPr>
        <w:t>היא</w:t>
      </w:r>
      <w:r w:rsidRPr="00643EF4">
        <w:rPr>
          <w:sz w:val="28"/>
          <w:rtl/>
        </w:rPr>
        <w:t xml:space="preserve">, </w:t>
      </w:r>
      <w:r w:rsidRPr="00643EF4">
        <w:rPr>
          <w:rFonts w:hint="eastAsia"/>
          <w:sz w:val="28"/>
          <w:rtl/>
        </w:rPr>
        <w:t>בין</w:t>
      </w:r>
      <w:r w:rsidRPr="00643EF4">
        <w:rPr>
          <w:sz w:val="28"/>
          <w:rtl/>
        </w:rPr>
        <w:t xml:space="preserve"> </w:t>
      </w:r>
      <w:r w:rsidRPr="00643EF4">
        <w:rPr>
          <w:rFonts w:hint="eastAsia"/>
          <w:sz w:val="28"/>
          <w:rtl/>
        </w:rPr>
        <w:t>השאר</w:t>
      </w:r>
      <w:r w:rsidRPr="00643EF4">
        <w:rPr>
          <w:sz w:val="28"/>
          <w:rtl/>
        </w:rPr>
        <w:t xml:space="preserve">, </w:t>
      </w:r>
      <w:r w:rsidRPr="00643EF4">
        <w:rPr>
          <w:rFonts w:hint="eastAsia"/>
          <w:sz w:val="28"/>
          <w:rtl/>
        </w:rPr>
        <w:t>שאין</w:t>
      </w:r>
      <w:r w:rsidRPr="00643EF4">
        <w:rPr>
          <w:sz w:val="28"/>
          <w:rtl/>
        </w:rPr>
        <w:t xml:space="preserve"> </w:t>
      </w:r>
      <w:r w:rsidRPr="00643EF4">
        <w:rPr>
          <w:rFonts w:hint="eastAsia"/>
          <w:sz w:val="28"/>
          <w:rtl/>
        </w:rPr>
        <w:t>לנקוט</w:t>
      </w:r>
      <w:r w:rsidRPr="00643EF4">
        <w:rPr>
          <w:sz w:val="28"/>
          <w:rtl/>
        </w:rPr>
        <w:t xml:space="preserve"> </w:t>
      </w:r>
      <w:r w:rsidRPr="00643EF4">
        <w:rPr>
          <w:rFonts w:hint="eastAsia"/>
          <w:sz w:val="28"/>
          <w:rtl/>
        </w:rPr>
        <w:t>באמצעי</w:t>
      </w:r>
      <w:r w:rsidRPr="00643EF4">
        <w:rPr>
          <w:sz w:val="28"/>
          <w:rtl/>
        </w:rPr>
        <w:t xml:space="preserve"> </w:t>
      </w:r>
      <w:r w:rsidRPr="00643EF4">
        <w:rPr>
          <w:rFonts w:hint="eastAsia"/>
          <w:sz w:val="28"/>
          <w:rtl/>
        </w:rPr>
        <w:t>שרירותי</w:t>
      </w:r>
      <w:r w:rsidRPr="00643EF4">
        <w:rPr>
          <w:sz w:val="28"/>
          <w:rtl/>
        </w:rPr>
        <w:t xml:space="preserve">, </w:t>
      </w:r>
      <w:r w:rsidRPr="00643EF4">
        <w:rPr>
          <w:rFonts w:hint="eastAsia"/>
          <w:sz w:val="28"/>
          <w:rtl/>
        </w:rPr>
        <w:t>בלתי</w:t>
      </w:r>
      <w:r w:rsidRPr="00643EF4">
        <w:rPr>
          <w:sz w:val="28"/>
          <w:rtl/>
        </w:rPr>
        <w:t xml:space="preserve"> </w:t>
      </w:r>
      <w:r w:rsidRPr="00643EF4">
        <w:rPr>
          <w:rFonts w:hint="eastAsia"/>
          <w:sz w:val="28"/>
          <w:rtl/>
        </w:rPr>
        <w:t>הוגן</w:t>
      </w:r>
      <w:r w:rsidRPr="00643EF4">
        <w:rPr>
          <w:sz w:val="28"/>
          <w:rtl/>
        </w:rPr>
        <w:t xml:space="preserve"> </w:t>
      </w:r>
      <w:r w:rsidRPr="00643EF4">
        <w:rPr>
          <w:rFonts w:hint="eastAsia"/>
          <w:sz w:val="28"/>
          <w:rtl/>
        </w:rPr>
        <w:t>או</w:t>
      </w:r>
      <w:r w:rsidRPr="00643EF4">
        <w:rPr>
          <w:sz w:val="28"/>
          <w:rtl/>
        </w:rPr>
        <w:t xml:space="preserve"> </w:t>
      </w:r>
      <w:r w:rsidRPr="00643EF4">
        <w:rPr>
          <w:rFonts w:hint="eastAsia"/>
          <w:sz w:val="28"/>
          <w:rtl/>
        </w:rPr>
        <w:t>מחוסר</w:t>
      </w:r>
      <w:r w:rsidRPr="00643EF4">
        <w:rPr>
          <w:sz w:val="28"/>
          <w:rtl/>
        </w:rPr>
        <w:t xml:space="preserve"> </w:t>
      </w:r>
      <w:r w:rsidRPr="00643EF4">
        <w:rPr>
          <w:rFonts w:hint="eastAsia"/>
          <w:sz w:val="28"/>
          <w:rtl/>
        </w:rPr>
        <w:t>היגיון</w:t>
      </w:r>
      <w:r w:rsidRPr="00643EF4">
        <w:rPr>
          <w:rFonts w:hint="cs"/>
          <w:rtl/>
        </w:rPr>
        <w:t xml:space="preserve">" (ההדגשה במקור; עניין </w:t>
      </w:r>
      <w:r w:rsidRPr="00643EF4">
        <w:rPr>
          <w:rFonts w:ascii="Century" w:hAnsi="Century" w:cs="Miriam" w:hint="eastAsia"/>
          <w:b/>
          <w:spacing w:val="0"/>
          <w:sz w:val="22"/>
          <w:szCs w:val="24"/>
          <w:rtl/>
        </w:rPr>
        <w:t>מוראר</w:t>
      </w:r>
      <w:r w:rsidRPr="00643EF4">
        <w:rPr>
          <w:rFonts w:ascii="Century" w:hAnsi="Century"/>
          <w:sz w:val="22"/>
          <w:rtl/>
        </w:rPr>
        <w:t xml:space="preserve">, </w:t>
      </w:r>
      <w:r w:rsidRPr="00643EF4">
        <w:rPr>
          <w:rFonts w:ascii="Century" w:hAnsi="Century" w:hint="eastAsia"/>
          <w:sz w:val="22"/>
          <w:rtl/>
        </w:rPr>
        <w:t>פסקה</w:t>
      </w:r>
      <w:r w:rsidRPr="00643EF4">
        <w:rPr>
          <w:rFonts w:ascii="Century" w:hAnsi="Century"/>
          <w:sz w:val="22"/>
          <w:rtl/>
        </w:rPr>
        <w:t xml:space="preserve"> </w:t>
      </w:r>
      <w:r w:rsidRPr="00643EF4">
        <w:rPr>
          <w:rFonts w:hint="cs"/>
          <w:rtl/>
        </w:rPr>
        <w:t xml:space="preserve">25 לחוות הדעת של השופטת (כתוארה אז) </w:t>
      </w:r>
      <w:r w:rsidRPr="00643EF4">
        <w:rPr>
          <w:rFonts w:ascii="Century" w:hAnsi="Century" w:cs="Miriam" w:hint="eastAsia"/>
          <w:b/>
          <w:spacing w:val="0"/>
          <w:sz w:val="22"/>
          <w:szCs w:val="24"/>
          <w:rtl/>
        </w:rPr>
        <w:t>ד</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ביניש</w:t>
      </w:r>
      <w:r w:rsidRPr="00643EF4">
        <w:rPr>
          <w:rFonts w:hint="cs"/>
          <w:rtl/>
        </w:rPr>
        <w:t xml:space="preserve">). בענייננו, השימוש באמצעי שמשמעותו </w:t>
      </w:r>
      <w:r w:rsidRPr="00643EF4">
        <w:rPr>
          <w:rFonts w:ascii="Century" w:hAnsi="Century" w:cs="Miriam" w:hint="eastAsia"/>
          <w:b/>
          <w:spacing w:val="0"/>
          <w:sz w:val="22"/>
          <w:szCs w:val="24"/>
          <w:rtl/>
        </w:rPr>
        <w:t>נטילה</w:t>
      </w:r>
      <w:r w:rsidRPr="00643EF4">
        <w:rPr>
          <w:rFonts w:ascii="Century" w:hAnsi="Century" w:cs="Miriam"/>
          <w:b/>
          <w:spacing w:val="0"/>
          <w:sz w:val="22"/>
          <w:szCs w:val="24"/>
          <w:rtl/>
        </w:rPr>
        <w:t xml:space="preserve"> </w:t>
      </w:r>
      <w:r w:rsidRPr="00643EF4">
        <w:rPr>
          <w:rFonts w:ascii="Century" w:hAnsi="Century" w:cs="Miriam" w:hint="eastAsia"/>
          <w:b/>
          <w:spacing w:val="0"/>
          <w:sz w:val="22"/>
          <w:szCs w:val="24"/>
          <w:rtl/>
        </w:rPr>
        <w:t>גורפת</w:t>
      </w:r>
      <w:r w:rsidRPr="00643EF4">
        <w:rPr>
          <w:rFonts w:hint="cs"/>
          <w:rtl/>
        </w:rPr>
        <w:t xml:space="preserve"> של זכויות השימוש והחזקה במקרקעין או הכרזה עליהם כעל "רכוש ממשלתי", מעורר קושי בהיבט זה משום שהוא מיטיב באופן קולקטיבי עם כל מי שהקימו את בתיהם באופן בלתי חוקי באותה התיישבות, בין היתר, על מקרקעין פרטיים. הוא מקיף את "כל המקרקעין שעליהם נבנתה אותה התיישבות" בלא בחינה פרטנית של סוגיית תום הלב ובאופן המחיל את ההסדר על כל המקרקעין שבתחומי היישוב, לרבות מקרקעין שאין עליהם בתי מגורים. הוא מעדיף את האינטרס שלהם על פני האינטרסים הקנייניים הלגיטימיים של קבוצת אוכלוסייה אחרת באותו אזור, והקושי מתעצם בהינתן העובדה שמדובר בתושבים מוגנים שהינם בעלי זכויות בחלק לא מבוטל של אותם המקרקעין. חרף הקשיים שעליהם הצבעתי, אדרש להלן לצורך הדיון לשאר מבחני המשנה של דרישת המידתיות. </w:t>
      </w:r>
    </w:p>
    <w:p w14:paraId="6100DB08" w14:textId="77777777" w:rsidR="000E5D20" w:rsidRPr="00643EF4" w:rsidRDefault="000E5D20" w:rsidP="000E5D20">
      <w:pPr>
        <w:pStyle w:val="Ruller41"/>
        <w:ind w:left="720"/>
        <w:rPr>
          <w:rtl/>
        </w:rPr>
      </w:pPr>
    </w:p>
    <w:p w14:paraId="78DFB73E"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(ב) מבחן האמצעי שפגיעתו פחותה</w:t>
      </w:r>
    </w:p>
    <w:p w14:paraId="3985B099" w14:textId="77777777" w:rsidR="000E5D20" w:rsidRPr="00643EF4" w:rsidRDefault="000E5D20" w:rsidP="000E5D20">
      <w:pPr>
        <w:pStyle w:val="Ruller41"/>
        <w:rPr>
          <w:rFonts w:ascii="Century" w:hAnsi="Century" w:cs="Miriam"/>
          <w:b/>
          <w:spacing w:val="0"/>
          <w:szCs w:val="24"/>
          <w:rtl/>
        </w:rPr>
      </w:pPr>
    </w:p>
    <w:p w14:paraId="58D4A6C9" w14:textId="77777777" w:rsidR="000E5D20" w:rsidRPr="00643EF4" w:rsidRDefault="000E5D20" w:rsidP="000E5D20">
      <w:pPr>
        <w:pStyle w:val="Ruller4"/>
        <w:tabs>
          <w:tab w:val="num" w:pos="10307"/>
        </w:tabs>
        <w:rPr>
          <w:rtl/>
        </w:rPr>
      </w:pPr>
      <w:r w:rsidRPr="00643EF4">
        <w:rPr>
          <w:rFonts w:hint="cs"/>
          <w:rtl/>
        </w:rPr>
        <w:t>היועץ המשפטי לממשלה הצביע על שורה של אמצעים חלופיים המוסדרים בדין החל באזור שיש בהם, לטענתו, כדי להגשים את תכליות החוק תוך פגיעה פחותה בזכויות. האמצעי החלופי המרכזי שאליו התייחס היועץ המשפטי לממשלה הוא זה הקבוע בסעיף 5 לצו בדבר רכוש ממשלתי ולפיו:</w:t>
      </w:r>
    </w:p>
    <w:p w14:paraId="710F589D" w14:textId="77777777" w:rsidR="000E5D20" w:rsidRPr="00643EF4" w:rsidRDefault="000E5D20" w:rsidP="000E5D20">
      <w:pPr>
        <w:pStyle w:val="Ruller41"/>
        <w:rPr>
          <w:rtl/>
        </w:rPr>
      </w:pPr>
    </w:p>
    <w:tbl>
      <w:tblPr>
        <w:bidiVisual/>
        <w:tblW w:w="0" w:type="auto"/>
        <w:tblInd w:w="1272" w:type="dxa"/>
        <w:tblLook w:val="01E0" w:firstRow="1" w:lastRow="1" w:firstColumn="1" w:lastColumn="1" w:noHBand="0" w:noVBand="0"/>
      </w:tblPr>
      <w:tblGrid>
        <w:gridCol w:w="1517"/>
        <w:gridCol w:w="4261"/>
      </w:tblGrid>
      <w:tr w:rsidR="000E5D20" w:rsidRPr="00643EF4" w14:paraId="3FD29DE6" w14:textId="77777777" w:rsidTr="00A6050B">
        <w:tc>
          <w:tcPr>
            <w:tcW w:w="1517" w:type="dxa"/>
            <w:shd w:val="clear" w:color="auto" w:fill="auto"/>
          </w:tcPr>
          <w:p w14:paraId="74C778F1" w14:textId="77777777" w:rsidR="000E5D20" w:rsidRPr="00643EF4" w:rsidRDefault="000E5D20" w:rsidP="00DE7E24">
            <w:pPr>
              <w:pStyle w:val="Ruller41"/>
              <w:tabs>
                <w:tab w:val="left" w:pos="3209"/>
                <w:tab w:val="left" w:pos="6753"/>
              </w:tabs>
              <w:spacing w:line="240" w:lineRule="auto"/>
              <w:jc w:val="left"/>
              <w:rPr>
                <w:rFonts w:ascii="Times New Roman" w:hAnsi="Times New Roman" w:cs="Miriam"/>
                <w:b/>
                <w:spacing w:val="0"/>
                <w:sz w:val="28"/>
                <w:szCs w:val="24"/>
                <w:rtl/>
              </w:rPr>
            </w:pPr>
            <w:r w:rsidRPr="00643EF4">
              <w:rPr>
                <w:rFonts w:ascii="Times New Roman" w:hAnsi="Times New Roman" w:cs="Miriam" w:hint="cs"/>
                <w:b/>
                <w:spacing w:val="0"/>
                <w:sz w:val="28"/>
                <w:szCs w:val="24"/>
                <w:rtl/>
              </w:rPr>
              <w:t>כשרות עיסקות</w:t>
            </w:r>
          </w:p>
        </w:tc>
        <w:tc>
          <w:tcPr>
            <w:tcW w:w="4261" w:type="dxa"/>
            <w:shd w:val="clear" w:color="auto" w:fill="auto"/>
          </w:tcPr>
          <w:p w14:paraId="2377A3C6" w14:textId="77777777" w:rsidR="000E5D20" w:rsidRPr="00643EF4" w:rsidRDefault="000E5D20" w:rsidP="00A6050B">
            <w:pPr>
              <w:pStyle w:val="Ruller41"/>
              <w:tabs>
                <w:tab w:val="left" w:pos="3209"/>
                <w:tab w:val="left" w:pos="6753"/>
              </w:tabs>
              <w:spacing w:line="276" w:lineRule="auto"/>
              <w:rPr>
                <w:rFonts w:ascii="Times New Roman" w:hAnsi="Times New Roman"/>
                <w:b/>
                <w:rtl/>
              </w:rPr>
            </w:pPr>
            <w:r w:rsidRPr="00643EF4">
              <w:rPr>
                <w:rFonts w:ascii="Times New Roman" w:hAnsi="Times New Roman" w:hint="cs"/>
                <w:b/>
                <w:rtl/>
              </w:rPr>
              <w:t xml:space="preserve">5. </w:t>
            </w:r>
            <w:r w:rsidRPr="00643EF4">
              <w:rPr>
                <w:rStyle w:val="default"/>
                <w:rFonts w:hint="cs"/>
                <w:b/>
                <w:rtl/>
              </w:rPr>
              <w:t>כל עיסקה שנעשתה בתום לב בין הממונה ובין אדם אחר בכל נכס שהממונה חשבו בשעת העיסקה לרכוש ממשלתי, לא תיפסל ותעמוד בתקפה גם אם יוכח שהנכס לא היה אותה שעה רכוש ממשלתי.</w:t>
            </w:r>
          </w:p>
        </w:tc>
      </w:tr>
    </w:tbl>
    <w:p w14:paraId="0E005886" w14:textId="77777777" w:rsidR="000E5D20" w:rsidRPr="00643EF4" w:rsidRDefault="000E5D20" w:rsidP="000E5D20">
      <w:pPr>
        <w:pStyle w:val="Ruller41"/>
        <w:rPr>
          <w:rtl/>
        </w:rPr>
      </w:pPr>
    </w:p>
    <w:p w14:paraId="3E50C999" w14:textId="56A10CF5" w:rsidR="000E5D20" w:rsidRPr="00643EF4" w:rsidRDefault="000E5D20" w:rsidP="001F511D">
      <w:pPr>
        <w:pStyle w:val="Ruller4"/>
        <w:numPr>
          <w:ilvl w:val="0"/>
          <w:numId w:val="0"/>
        </w:numPr>
        <w:rPr>
          <w:rtl/>
        </w:rPr>
      </w:pPr>
      <w:r w:rsidRPr="00643EF4">
        <w:rPr>
          <w:rtl/>
        </w:rPr>
        <w:tab/>
      </w:r>
      <w:r w:rsidRPr="00643EF4">
        <w:rPr>
          <w:rFonts w:hint="cs"/>
          <w:rtl/>
        </w:rPr>
        <w:t>הסדר זה נועד להגן על מי שהתקשר ב</w:t>
      </w:r>
      <w:r w:rsidRPr="00643EF4">
        <w:rPr>
          <w:rFonts w:ascii="Century" w:hAnsi="Century" w:cs="Miriam" w:hint="cs"/>
          <w:b/>
          <w:spacing w:val="0"/>
          <w:sz w:val="22"/>
          <w:szCs w:val="24"/>
          <w:rtl/>
        </w:rPr>
        <w:t xml:space="preserve">תום לב </w:t>
      </w:r>
      <w:r w:rsidRPr="00643EF4">
        <w:rPr>
          <w:rFonts w:ascii="Century" w:hAnsi="Century" w:hint="cs"/>
          <w:sz w:val="22"/>
          <w:rtl/>
        </w:rPr>
        <w:t xml:space="preserve">עם הממונה </w:t>
      </w:r>
      <w:r w:rsidRPr="00643EF4">
        <w:rPr>
          <w:rFonts w:hint="cs"/>
          <w:rtl/>
        </w:rPr>
        <w:t xml:space="preserve">(ראו </w:t>
      </w:r>
      <w:r w:rsidRPr="00643EF4">
        <w:rPr>
          <w:rFonts w:ascii="FrankRuehl" w:hAnsi="FrankRuehl" w:hint="cs"/>
          <w:color w:val="000000"/>
          <w:sz w:val="28"/>
          <w:rtl/>
        </w:rPr>
        <w:t xml:space="preserve">ע"א 4999/06 </w:t>
      </w:r>
      <w:r w:rsidRPr="00643EF4">
        <w:rPr>
          <w:rFonts w:ascii="Century" w:hAnsi="Century" w:cs="Miriam" w:hint="cs"/>
          <w:b/>
          <w:spacing w:val="0"/>
          <w:sz w:val="22"/>
          <w:szCs w:val="24"/>
          <w:rtl/>
        </w:rPr>
        <w:t>הממונה על הרכוש הנטוש והממשלתי באזור יהודה ושומרון נ' מחצבות כפר גלעדי</w:t>
      </w:r>
      <w:r w:rsidRPr="00643EF4">
        <w:rPr>
          <w:rFonts w:ascii="Century" w:hAnsi="Century" w:cs="Miriam" w:hint="cs"/>
          <w:b/>
          <w:spacing w:val="0"/>
          <w:szCs w:val="24"/>
          <w:rtl/>
        </w:rPr>
        <w:t xml:space="preserve"> </w:t>
      </w:r>
      <w:r w:rsidRPr="00643EF4">
        <w:rPr>
          <w:rFonts w:ascii="Century" w:hAnsi="Century" w:cs="Miriam"/>
          <w:b/>
          <w:spacing w:val="0"/>
          <w:szCs w:val="24"/>
          <w:rtl/>
        </w:rPr>
        <w:t>–</w:t>
      </w:r>
      <w:r w:rsidRPr="00643EF4">
        <w:rPr>
          <w:rFonts w:ascii="Century" w:hAnsi="Century" w:cs="Miriam" w:hint="cs"/>
          <w:b/>
          <w:spacing w:val="0"/>
          <w:szCs w:val="24"/>
          <w:rtl/>
        </w:rPr>
        <w:t xml:space="preserve"> </w:t>
      </w:r>
      <w:r w:rsidRPr="00643EF4">
        <w:rPr>
          <w:rFonts w:ascii="Century" w:hAnsi="Century" w:cs="Miriam" w:hint="cs"/>
          <w:b/>
          <w:spacing w:val="0"/>
          <w:sz w:val="22"/>
          <w:szCs w:val="24"/>
          <w:rtl/>
        </w:rPr>
        <w:t>שותפות ‏מוגבלת</w:t>
      </w:r>
      <w:r w:rsidRPr="00643EF4">
        <w:rPr>
          <w:rFonts w:ascii="Century" w:hAnsi="Century" w:hint="cs"/>
          <w:rtl/>
        </w:rPr>
        <w:t>, פסקה 13 לחוות דעתי (15.2.2009)</w:t>
      </w:r>
      <w:r w:rsidRPr="00643EF4">
        <w:rPr>
          <w:rFonts w:hint="cs"/>
          <w:rtl/>
        </w:rPr>
        <w:t xml:space="preserve">) </w:t>
      </w:r>
      <w:r w:rsidR="00DB3DD4" w:rsidRPr="00643EF4">
        <w:rPr>
          <w:rFonts w:hint="cs"/>
          <w:rtl/>
        </w:rPr>
        <w:t>והוא</w:t>
      </w:r>
      <w:r w:rsidRPr="00643EF4">
        <w:rPr>
          <w:rFonts w:hint="cs"/>
          <w:rtl/>
        </w:rPr>
        <w:t xml:space="preserve"> מהווה חלק מתחיקת הביטחון באזור מזה כחמישים שנה, אך עד כה נעשה בו שימוש במקרים נדירים וחריגים בלבד (ראו מסמך סיכום דיון שנערך בנושא בראשות היועץ המשפטי לממשלה ובהשתתפות פרקליט המדינה ובכירים נוספים במשרד המשפטים ביום 7.12.2016 (להלן: </w:t>
      </w:r>
      <w:r w:rsidRPr="00643EF4">
        <w:rPr>
          <w:rFonts w:ascii="Century" w:hAnsi="Century" w:cs="Miriam" w:hint="cs"/>
          <w:b/>
          <w:spacing w:val="0"/>
          <w:sz w:val="22"/>
          <w:szCs w:val="24"/>
          <w:rtl/>
        </w:rPr>
        <w:t>סיכום הדיון</w:t>
      </w:r>
      <w:r w:rsidRPr="00643EF4">
        <w:rPr>
          <w:rFonts w:ascii="Century" w:hAnsi="Century" w:hint="cs"/>
          <w:sz w:val="22"/>
          <w:rtl/>
        </w:rPr>
        <w:t xml:space="preserve">)). כעולה </w:t>
      </w:r>
      <w:r w:rsidRPr="00643EF4">
        <w:rPr>
          <w:rFonts w:hint="cs"/>
          <w:rtl/>
        </w:rPr>
        <w:t>מסיכום הדיון, שב ועלה הצורך לבחון את השימוש בהסדר הקבוע בסעי</w:t>
      </w:r>
      <w:r w:rsidRPr="00643EF4">
        <w:rPr>
          <w:rFonts w:ascii="Century" w:hAnsi="Century" w:hint="cs"/>
          <w:sz w:val="22"/>
          <w:rtl/>
        </w:rPr>
        <w:t>ף</w:t>
      </w:r>
      <w:r w:rsidRPr="00643EF4">
        <w:rPr>
          <w:rFonts w:hint="cs"/>
          <w:rtl/>
        </w:rPr>
        <w:t xml:space="preserve"> 5 הנ"ל לנוכח ממצאי עבודת צוות קו כחול שהחריג שטחים מההכרזות כ"רכוש ממשלתי"</w:t>
      </w:r>
      <w:r w:rsidRPr="00643EF4">
        <w:rPr>
          <w:rFonts w:ascii="Century" w:hAnsi="Century" w:hint="cs"/>
          <w:sz w:val="22"/>
          <w:rtl/>
        </w:rPr>
        <w:t>.</w:t>
      </w:r>
      <w:r w:rsidRPr="00643EF4">
        <w:rPr>
          <w:rFonts w:hint="cs"/>
          <w:rtl/>
        </w:rPr>
        <w:t xml:space="preserve"> ו</w:t>
      </w:r>
      <w:r w:rsidRPr="00643EF4">
        <w:rPr>
          <w:rFonts w:ascii="Century" w:hAnsi="Century" w:hint="cs"/>
          <w:sz w:val="22"/>
          <w:rtl/>
        </w:rPr>
        <w:t>כך צוין בהקשר זה במסמך סיכום הדיון:</w:t>
      </w:r>
    </w:p>
    <w:p w14:paraId="3C52BFE9" w14:textId="77777777" w:rsidR="000E5D20" w:rsidRPr="00643EF4" w:rsidRDefault="000E5D20" w:rsidP="000E5D20">
      <w:pPr>
        <w:pStyle w:val="Ruller5"/>
        <w:rPr>
          <w:rtl/>
        </w:rPr>
      </w:pPr>
    </w:p>
    <w:p w14:paraId="4D991281" w14:textId="77777777" w:rsidR="000E5D20" w:rsidRPr="00643EF4" w:rsidRDefault="000E5D20" w:rsidP="000E5D20">
      <w:pPr>
        <w:pStyle w:val="Ruller5"/>
        <w:rPr>
          <w:rtl/>
        </w:rPr>
      </w:pPr>
      <w:r w:rsidRPr="00643EF4">
        <w:rPr>
          <w:rFonts w:hint="cs"/>
          <w:rtl/>
        </w:rPr>
        <w:lastRenderedPageBreak/>
        <w:t xml:space="preserve">"תכליתו של ההסדר היא הגנה על אינטרס ההסתמכות של הפרט שנקט פעולות על בסיס אותן עסקאות, כאשר ביטול ההסכם כעת יביא לפגיעה בו, כמו גם הקניית מעמד ראוי לממונה, על מנת שניתן יהיה להבטיח כי עסקאות עמו יעמדו בתוקפן [...] בו בזמן, בהגנה על המתקשר תם הלב יכולה להיות מגולמת פגיעה ברכוש הפרט, שאדמתו הוכרזה בטעות כרכוש ממשלתי. נוכח זאת </w:t>
      </w:r>
      <w:r w:rsidRPr="00643EF4">
        <w:rPr>
          <w:rtl/>
        </w:rPr>
        <w:t>–</w:t>
      </w:r>
      <w:r w:rsidRPr="00643EF4">
        <w:rPr>
          <w:rFonts w:hint="cs"/>
          <w:rtl/>
        </w:rPr>
        <w:t xml:space="preserve"> כבכל תקנת שוק, וביתר שאת מתוקף חובתו של מפקד כוחות צה"ל באיו"ש להגן על רכוש הפרט בשטח המוחזק, </w:t>
      </w:r>
      <w:r w:rsidRPr="00643EF4">
        <w:rPr>
          <w:rFonts w:cs="Miriam" w:hint="cs"/>
          <w:b/>
          <w:spacing w:val="0"/>
          <w:szCs w:val="24"/>
          <w:rtl/>
        </w:rPr>
        <w:t>נדרשת בחינת קפדנית של דרישות הסעיף</w:t>
      </w:r>
      <w:r w:rsidRPr="00643EF4">
        <w:rPr>
          <w:rFonts w:hint="cs"/>
          <w:rtl/>
        </w:rPr>
        <w:t xml:space="preserve">" (ההדגשות הוספו). </w:t>
      </w:r>
    </w:p>
    <w:p w14:paraId="0467B5EF" w14:textId="77777777" w:rsidR="000E5D20" w:rsidRPr="00643EF4" w:rsidRDefault="000E5D20" w:rsidP="000E5D20">
      <w:pPr>
        <w:pStyle w:val="Ruller4"/>
        <w:numPr>
          <w:ilvl w:val="0"/>
          <w:numId w:val="0"/>
        </w:numPr>
        <w:rPr>
          <w:rtl/>
        </w:rPr>
      </w:pPr>
    </w:p>
    <w:p w14:paraId="19BB47DA" w14:textId="77777777" w:rsidR="000E5D20" w:rsidRPr="00643EF4" w:rsidRDefault="000E5D20" w:rsidP="000E5D20">
      <w:pPr>
        <w:pStyle w:val="Ruller4"/>
        <w:numPr>
          <w:ilvl w:val="0"/>
          <w:numId w:val="0"/>
        </w:numPr>
      </w:pPr>
      <w:r w:rsidRPr="00643EF4">
        <w:rPr>
          <w:rtl/>
        </w:rPr>
        <w:tab/>
      </w:r>
      <w:r w:rsidRPr="00643EF4">
        <w:rPr>
          <w:rFonts w:hint="cs"/>
          <w:rtl/>
        </w:rPr>
        <w:t xml:space="preserve">ביום 24.12.2018 הגיש היועץ המשפטי הודעת עדכון בעתירות שבפנינו לפיה ביום 13.12.2018 פורסמה על ידו חוות דעת נוספת שכותרתה "יישום סיכום היועץ המשפטי לממשלה בנושא סעיף 5 לצו בדבר רכוש ממשלתי (יהודה ושומרון) </w:t>
      </w:r>
      <w:r w:rsidRPr="00643EF4">
        <w:rPr>
          <w:rtl/>
        </w:rPr>
        <w:t>–</w:t>
      </w:r>
      <w:r w:rsidRPr="00643EF4">
        <w:rPr>
          <w:rFonts w:hint="cs"/>
          <w:rtl/>
        </w:rPr>
        <w:t xml:space="preserve"> חוות דעת משלימה". חוות דעת זו נוגעת בעיקרה ליישום סעיף 5 הנ"ל על מקרקעין באזור המוחזקים על ידי תושבים ישראלים והיא מפרטת שני מסלולים אפשריים ליישום ההסדר הקבוע בסעיף 5 האמור: מסלול שיפוטי, במסגרתו ערכאה שיפוטית (קיימת או ייעודית) תוסמך לדון בתביעות לפי סעיף 5 וליתן סעד במקרים המתאימים או מסלול מנהלי, שבאמצעותו יוכלו רשויות הביטחון ליזום בחינה של תאי שטח שבהם מתקיימים, לכאורה, תנאי סעיף 5. </w:t>
      </w:r>
    </w:p>
    <w:p w14:paraId="40C0283F" w14:textId="77777777" w:rsidR="000E5D20" w:rsidRPr="00643EF4" w:rsidRDefault="000E5D20" w:rsidP="000E5D20">
      <w:pPr>
        <w:pStyle w:val="Ruller41"/>
        <w:rPr>
          <w:rtl/>
        </w:rPr>
      </w:pPr>
    </w:p>
    <w:p w14:paraId="26D4DF9E" w14:textId="77777777" w:rsidR="000E5D20" w:rsidRPr="00643EF4" w:rsidRDefault="000E5D20" w:rsidP="000E5D20">
      <w:pPr>
        <w:pStyle w:val="Ruller4"/>
        <w:tabs>
          <w:tab w:val="num" w:pos="10307"/>
        </w:tabs>
        <w:rPr>
          <w:rFonts w:ascii="Century" w:hAnsi="Century"/>
          <w:sz w:val="22"/>
          <w:rtl/>
        </w:rPr>
      </w:pPr>
      <w:r w:rsidRPr="00643EF4">
        <w:rPr>
          <w:rFonts w:hint="cs"/>
          <w:rtl/>
        </w:rPr>
        <w:t xml:space="preserve">אמצעי נוסף שאליו התייחס היועץ המשפטי לממשלה הוא שימוש בדיני ההתיישנות החלים באזור, ובמרכזם סעיף 78 לחוק הקרקעות העות'מאני מיום 7 רמדאן 1274 (21.4.1858) (להלן: </w:t>
      </w:r>
      <w:r w:rsidRPr="00643EF4">
        <w:rPr>
          <w:rFonts w:ascii="Century" w:hAnsi="Century" w:cs="Miriam" w:hint="cs"/>
          <w:b/>
          <w:spacing w:val="0"/>
          <w:sz w:val="22"/>
          <w:szCs w:val="24"/>
          <w:rtl/>
        </w:rPr>
        <w:t>חוק הקרקעות העות'מאני</w:t>
      </w:r>
      <w:r w:rsidRPr="00643EF4">
        <w:rPr>
          <w:rFonts w:hint="cs"/>
          <w:rtl/>
        </w:rPr>
        <w:t xml:space="preserve">). הסעיף קובע הסדר של התיישנות רוכשת בקרקע מסוג מירי (בסוג מקרקעין זה זכות הבעלות שייכת לממשלה וזכות השימוש ואכילת הפירות שייכת לעובד אותה. ראו </w:t>
      </w:r>
      <w:r w:rsidRPr="00643EF4">
        <w:rPr>
          <w:rFonts w:ascii="Century" w:hAnsi="Century" w:cs="Miriam" w:hint="cs"/>
          <w:b/>
          <w:spacing w:val="0"/>
          <w:sz w:val="22"/>
          <w:szCs w:val="24"/>
          <w:rtl/>
        </w:rPr>
        <w:t>דוכן</w:t>
      </w:r>
      <w:r w:rsidRPr="00643EF4">
        <w:rPr>
          <w:rFonts w:ascii="Century" w:hAnsi="Century" w:hint="cs"/>
          <w:sz w:val="22"/>
          <w:rtl/>
        </w:rPr>
        <w:t>, בעמ' 46). פרשנותו המקובלת של סעי</w:t>
      </w:r>
      <w:r w:rsidRPr="00643EF4">
        <w:rPr>
          <w:rFonts w:ascii="Century" w:hAnsi="Century" w:hint="cs"/>
          <w:rtl/>
        </w:rPr>
        <w:t xml:space="preserve">ף 78 </w:t>
      </w:r>
      <w:r w:rsidRPr="00643EF4">
        <w:rPr>
          <w:rFonts w:ascii="Century" w:hAnsi="Century"/>
          <w:rtl/>
        </w:rPr>
        <w:t>–</w:t>
      </w:r>
      <w:r w:rsidRPr="00643EF4">
        <w:rPr>
          <w:rFonts w:ascii="Century" w:hAnsi="Century" w:hint="cs"/>
          <w:rtl/>
        </w:rPr>
        <w:t xml:space="preserve"> החל ביחסים שבין הפרט למדינה </w:t>
      </w:r>
      <w:r w:rsidRPr="00643EF4">
        <w:rPr>
          <w:rFonts w:ascii="Century" w:hAnsi="Century"/>
          <w:rtl/>
        </w:rPr>
        <w:t>–</w:t>
      </w:r>
      <w:r w:rsidRPr="00643EF4">
        <w:rPr>
          <w:rFonts w:ascii="Century" w:hAnsi="Century" w:hint="cs"/>
          <w:rtl/>
        </w:rPr>
        <w:t xml:space="preserve"> מאפשרת לאדם המחזיק בקרקע מירי עשר שנים רצופות בלא הפרעה, לבוא כתובע ולדרוש מן המדינה שטר טאבו, היינו, העברה של הזכויות הקנייניות, וזאת אם יוכיח שמילא את כל דרישות הסעיף (</w:t>
      </w:r>
      <w:r w:rsidRPr="00643EF4">
        <w:rPr>
          <w:rFonts w:ascii="Century" w:hAnsi="Century" w:hint="cs"/>
          <w:sz w:val="22"/>
          <w:rtl/>
        </w:rPr>
        <w:t>אהרון בן שמש</w:t>
      </w:r>
      <w:r w:rsidRPr="00643EF4">
        <w:rPr>
          <w:rFonts w:ascii="Century" w:hAnsi="Century" w:hint="cs"/>
          <w:rtl/>
        </w:rPr>
        <w:t xml:space="preserve"> </w:t>
      </w:r>
      <w:r w:rsidRPr="00643EF4">
        <w:rPr>
          <w:rFonts w:ascii="Century" w:hAnsi="Century" w:cs="Miriam" w:hint="cs"/>
          <w:b/>
          <w:spacing w:val="0"/>
          <w:sz w:val="22"/>
          <w:szCs w:val="24"/>
          <w:rtl/>
        </w:rPr>
        <w:t>חוקי הקרקעות במדינת ישראל</w:t>
      </w:r>
      <w:r w:rsidRPr="00643EF4">
        <w:rPr>
          <w:rFonts w:ascii="Century" w:hAnsi="Century" w:hint="cs"/>
          <w:rtl/>
        </w:rPr>
        <w:t xml:space="preserve"> 133 (1953) (להלן: </w:t>
      </w:r>
      <w:r w:rsidRPr="00643EF4">
        <w:rPr>
          <w:rFonts w:ascii="Century" w:hAnsi="Century" w:cs="Miriam" w:hint="cs"/>
          <w:b/>
          <w:spacing w:val="0"/>
          <w:sz w:val="22"/>
          <w:szCs w:val="24"/>
          <w:rtl/>
        </w:rPr>
        <w:t>בן שמש</w:t>
      </w:r>
      <w:r w:rsidRPr="00643EF4">
        <w:rPr>
          <w:rFonts w:ascii="Century" w:hAnsi="Century" w:hint="cs"/>
          <w:sz w:val="22"/>
          <w:rtl/>
        </w:rPr>
        <w:t>)</w:t>
      </w:r>
      <w:r w:rsidRPr="00643EF4">
        <w:rPr>
          <w:rFonts w:ascii="Century" w:hAnsi="Century" w:hint="cs"/>
          <w:rtl/>
        </w:rPr>
        <w:t xml:space="preserve">; </w:t>
      </w:r>
      <w:r w:rsidRPr="00643EF4">
        <w:rPr>
          <w:rFonts w:ascii="Century" w:hAnsi="Century" w:hint="cs"/>
          <w:sz w:val="22"/>
          <w:rtl/>
        </w:rPr>
        <w:t>ראו עוד</w:t>
      </w:r>
      <w:r w:rsidRPr="00643EF4">
        <w:rPr>
          <w:rFonts w:ascii="Century" w:hAnsi="Century" w:cs="Miriam" w:hint="cs"/>
          <w:b/>
          <w:spacing w:val="0"/>
          <w:szCs w:val="24"/>
          <w:rtl/>
        </w:rPr>
        <w:t xml:space="preserve"> זנדברג</w:t>
      </w:r>
      <w:r w:rsidRPr="00643EF4">
        <w:rPr>
          <w:rFonts w:ascii="Century" w:hAnsi="Century" w:hint="cs"/>
          <w:rtl/>
        </w:rPr>
        <w:t xml:space="preserve">, בעמ' 109-108; </w:t>
      </w:r>
      <w:r w:rsidRPr="00643EF4">
        <w:rPr>
          <w:rFonts w:ascii="Century" w:hAnsi="Century" w:cs="Miriam" w:hint="cs"/>
          <w:b/>
          <w:spacing w:val="0"/>
          <w:sz w:val="22"/>
          <w:szCs w:val="24"/>
          <w:rtl/>
        </w:rPr>
        <w:t>סוכובולסקי, כהן וארליך</w:t>
      </w:r>
      <w:r w:rsidRPr="00643EF4">
        <w:rPr>
          <w:rFonts w:ascii="Century" w:hAnsi="Century" w:hint="cs"/>
          <w:rtl/>
        </w:rPr>
        <w:t xml:space="preserve">, בעמ' </w:t>
      </w:r>
      <w:r w:rsidRPr="00643EF4">
        <w:rPr>
          <w:rFonts w:ascii="Century" w:hAnsi="Century" w:hint="cs"/>
          <w:sz w:val="22"/>
          <w:rtl/>
        </w:rPr>
        <w:t>28-22;</w:t>
      </w:r>
      <w:r w:rsidRPr="00643EF4">
        <w:rPr>
          <w:rFonts w:ascii="Century" w:hAnsi="Century" w:hint="cs"/>
          <w:rtl/>
        </w:rPr>
        <w:t xml:space="preserve"> </w:t>
      </w:r>
      <w:r w:rsidRPr="00643EF4">
        <w:rPr>
          <w:rFonts w:ascii="Century" w:hAnsi="Century" w:cs="Miriam" w:hint="cs"/>
          <w:b/>
          <w:spacing w:val="0"/>
          <w:szCs w:val="24"/>
          <w:rtl/>
        </w:rPr>
        <w:t>קדר</w:t>
      </w:r>
      <w:r w:rsidRPr="00643EF4">
        <w:rPr>
          <w:rFonts w:ascii="Century" w:hAnsi="Century" w:hint="cs"/>
          <w:rtl/>
        </w:rPr>
        <w:t xml:space="preserve">, בעמ' 671-670 ובעמ' 688-687; </w:t>
      </w:r>
      <w:r w:rsidRPr="00643EF4">
        <w:rPr>
          <w:rFonts w:ascii="Century" w:hAnsi="Century" w:hint="cs"/>
          <w:sz w:val="22"/>
          <w:rtl/>
        </w:rPr>
        <w:t xml:space="preserve">ישראל גלעד "התיישנות במקרקעין </w:t>
      </w:r>
      <w:r w:rsidRPr="00643EF4">
        <w:rPr>
          <w:rFonts w:ascii="Century" w:hAnsi="Century"/>
          <w:sz w:val="22"/>
          <w:rtl/>
        </w:rPr>
        <w:t>–</w:t>
      </w:r>
      <w:r w:rsidRPr="00643EF4">
        <w:rPr>
          <w:rFonts w:ascii="Century" w:hAnsi="Century" w:hint="cs"/>
          <w:sz w:val="22"/>
          <w:rtl/>
        </w:rPr>
        <w:t xml:space="preserve"> קווים לריפורמה" </w:t>
      </w:r>
      <w:r w:rsidRPr="00643EF4">
        <w:rPr>
          <w:rFonts w:ascii="Century" w:hAnsi="Century" w:cs="Miriam" w:hint="cs"/>
          <w:b/>
          <w:spacing w:val="0"/>
          <w:sz w:val="22"/>
          <w:szCs w:val="24"/>
          <w:rtl/>
        </w:rPr>
        <w:t xml:space="preserve">משפטים </w:t>
      </w:r>
      <w:r w:rsidRPr="00643EF4">
        <w:rPr>
          <w:rFonts w:ascii="Century" w:hAnsi="Century" w:hint="cs"/>
          <w:sz w:val="22"/>
          <w:rtl/>
        </w:rPr>
        <w:t xml:space="preserve">י"ח 177, 238-236 (1988); לדעה לפיה סעיף 78 אינו יכול לשמש מקור לרכישת זכויות קנייניות באזור שנוצרו בתקופה שלאחר החלת דיני התפיסה הלוחמתית שם ראו </w:t>
      </w:r>
      <w:r w:rsidRPr="00643EF4">
        <w:rPr>
          <w:rFonts w:ascii="Century" w:hAnsi="Century" w:cs="Miriam" w:hint="cs"/>
          <w:b/>
          <w:spacing w:val="0"/>
          <w:sz w:val="22"/>
          <w:szCs w:val="24"/>
          <w:rtl/>
        </w:rPr>
        <w:t>דיני רישום מקרקעין</w:t>
      </w:r>
      <w:r w:rsidRPr="00643EF4">
        <w:rPr>
          <w:rFonts w:ascii="Century" w:hAnsi="Century" w:hint="cs"/>
          <w:sz w:val="22"/>
          <w:rtl/>
        </w:rPr>
        <w:t xml:space="preserve">, בעמ' 315-313 והשוו </w:t>
      </w:r>
      <w:r w:rsidRPr="00643EF4">
        <w:rPr>
          <w:rFonts w:ascii="Century" w:hAnsi="Century" w:cs="Miriam" w:hint="cs"/>
          <w:b/>
          <w:spacing w:val="0"/>
          <w:sz w:val="22"/>
          <w:szCs w:val="24"/>
          <w:rtl/>
        </w:rPr>
        <w:t xml:space="preserve">ההצדקות למוסד ההתיישנות </w:t>
      </w:r>
      <w:r w:rsidRPr="00643EF4">
        <w:rPr>
          <w:rFonts w:ascii="Century" w:hAnsi="Century" w:cs="Miriam"/>
          <w:b/>
          <w:spacing w:val="0"/>
          <w:sz w:val="22"/>
          <w:szCs w:val="24"/>
          <w:rtl/>
        </w:rPr>
        <w:t>–</w:t>
      </w:r>
      <w:r w:rsidRPr="00643EF4">
        <w:rPr>
          <w:rFonts w:ascii="Century" w:hAnsi="Century" w:cs="Miriam" w:hint="cs"/>
          <w:b/>
          <w:spacing w:val="0"/>
          <w:sz w:val="22"/>
          <w:szCs w:val="24"/>
          <w:rtl/>
        </w:rPr>
        <w:t xml:space="preserve"> ביהודה ושומרון</w:t>
      </w:r>
      <w:r w:rsidRPr="00643EF4">
        <w:rPr>
          <w:rFonts w:ascii="Century" w:hAnsi="Century" w:hint="cs"/>
          <w:sz w:val="22"/>
          <w:rtl/>
        </w:rPr>
        <w:t xml:space="preserve">, בעמ' 242-238. ראו גם </w:t>
      </w:r>
      <w:r w:rsidRPr="00643EF4">
        <w:rPr>
          <w:rFonts w:ascii="FrankRuehl" w:hAnsi="FrankRuehl" w:hint="cs"/>
          <w:color w:val="000000"/>
          <w:sz w:val="28"/>
          <w:rtl/>
        </w:rPr>
        <w:t xml:space="preserve">בג"ץ 5439/09 </w:t>
      </w:r>
      <w:r w:rsidRPr="00643EF4">
        <w:rPr>
          <w:rFonts w:ascii="Century" w:hAnsi="Century" w:cs="Miriam" w:hint="cs"/>
          <w:b/>
          <w:spacing w:val="0"/>
          <w:sz w:val="22"/>
          <w:szCs w:val="24"/>
          <w:rtl/>
        </w:rPr>
        <w:t>עבדאלקאדר נ' ועדת העררים הצבאית שלפי צו בדבר וועדות עררים מחנה עופר</w:t>
      </w:r>
      <w:r w:rsidRPr="00643EF4">
        <w:rPr>
          <w:rFonts w:ascii="Century" w:hAnsi="Century" w:hint="cs"/>
          <w:rtl/>
        </w:rPr>
        <w:t xml:space="preserve"> (20.3.2012) (להלן: עניין </w:t>
      </w:r>
      <w:r w:rsidRPr="00643EF4">
        <w:rPr>
          <w:rFonts w:ascii="Century" w:hAnsi="Century" w:cs="Miriam" w:hint="cs"/>
          <w:b/>
          <w:spacing w:val="0"/>
          <w:szCs w:val="24"/>
          <w:rtl/>
        </w:rPr>
        <w:t>עבדאלקאדר</w:t>
      </w:r>
      <w:r w:rsidRPr="00643EF4">
        <w:rPr>
          <w:rFonts w:ascii="Century" w:hAnsi="Century" w:hint="cs"/>
          <w:rtl/>
        </w:rPr>
        <w:t xml:space="preserve">)). </w:t>
      </w:r>
    </w:p>
    <w:p w14:paraId="4F9364FF" w14:textId="77777777" w:rsidR="000E5D20" w:rsidRPr="00643EF4" w:rsidRDefault="000E5D20" w:rsidP="000E5D20">
      <w:pPr>
        <w:pStyle w:val="Ruller4"/>
        <w:numPr>
          <w:ilvl w:val="0"/>
          <w:numId w:val="0"/>
        </w:numPr>
        <w:rPr>
          <w:rtl/>
        </w:rPr>
      </w:pPr>
    </w:p>
    <w:p w14:paraId="6496781B" w14:textId="77777777" w:rsidR="000E5D20" w:rsidRPr="00643EF4" w:rsidRDefault="000E5D20" w:rsidP="000E5D20">
      <w:pPr>
        <w:pStyle w:val="Ruller4"/>
        <w:numPr>
          <w:ilvl w:val="0"/>
          <w:numId w:val="0"/>
        </w:numPr>
        <w:rPr>
          <w:rFonts w:ascii="Century" w:hAnsi="Century"/>
          <w:rtl/>
        </w:rPr>
      </w:pPr>
      <w:r w:rsidRPr="00643EF4">
        <w:rPr>
          <w:rtl/>
        </w:rPr>
        <w:tab/>
      </w:r>
      <w:r w:rsidRPr="00643EF4">
        <w:rPr>
          <w:rFonts w:hint="cs"/>
          <w:rtl/>
        </w:rPr>
        <w:t xml:space="preserve">הסדר נוסף הנוגע לדיני ההתיישנות החלים באזור הוא זה הקבוע בסעיף 20 לחוק הקרקעות העות'מאני שעוסק בטענת התיישנות דיונית בסכסוכים שהמדינה אינה צד </w:t>
      </w:r>
      <w:r w:rsidRPr="00643EF4">
        <w:rPr>
          <w:rFonts w:hint="cs"/>
          <w:rtl/>
        </w:rPr>
        <w:lastRenderedPageBreak/>
        <w:t xml:space="preserve">להם. </w:t>
      </w:r>
      <w:r w:rsidRPr="00643EF4">
        <w:rPr>
          <w:rFonts w:ascii="Century" w:hAnsi="Century" w:hint="cs"/>
          <w:rtl/>
        </w:rPr>
        <w:t xml:space="preserve">סעיף זה דן במצבים שבהם נתפסו מקרקעין על ידי אדם שאינו המחזיק המקורי וללא רשותו. הסעיף קובע כלל של התיישנות תביעות בקשר להחזקת קרקע מסוגים מסוימים מחמת התיישנות של עשר שנים שבהן הוחזקה הקרקע על ידי המחזיק-התופס ללא התנגדות מצד המחזיק המקורי. זאת, אלא אם חלוף הזמן נגרם בשל אחת הסיבות המנויות בסעיף (לפרשנות הסעיף ראו </w:t>
      </w:r>
      <w:r w:rsidRPr="00643EF4">
        <w:rPr>
          <w:rFonts w:ascii="Century" w:hAnsi="Century" w:cs="Miriam" w:hint="cs"/>
          <w:b/>
          <w:spacing w:val="0"/>
          <w:szCs w:val="24"/>
          <w:rtl/>
        </w:rPr>
        <w:t>בן שמש</w:t>
      </w:r>
      <w:r w:rsidRPr="00643EF4">
        <w:rPr>
          <w:rFonts w:ascii="Century" w:hAnsi="Century" w:hint="cs"/>
          <w:rtl/>
        </w:rPr>
        <w:t xml:space="preserve">, בעמ' 55-54; </w:t>
      </w:r>
      <w:r w:rsidRPr="00643EF4">
        <w:rPr>
          <w:rFonts w:ascii="Century" w:hAnsi="Century" w:cs="Miriam" w:hint="cs"/>
          <w:b/>
          <w:spacing w:val="0"/>
          <w:szCs w:val="24"/>
          <w:rtl/>
        </w:rPr>
        <w:t>דוכן</w:t>
      </w:r>
      <w:r w:rsidRPr="00643EF4">
        <w:rPr>
          <w:rFonts w:ascii="Century" w:hAnsi="Century" w:hint="cs"/>
          <w:rtl/>
        </w:rPr>
        <w:t xml:space="preserve">, בעמ' 306-305; לעניין ההבחנה בין השימוש בסעיף 78 הנ"ל ובין סעיף 20 ראו אברהם חלימה </w:t>
      </w:r>
      <w:r w:rsidRPr="00643EF4">
        <w:rPr>
          <w:rFonts w:ascii="Century" w:hAnsi="Century" w:cs="Miriam" w:hint="cs"/>
          <w:b/>
          <w:spacing w:val="0"/>
          <w:sz w:val="22"/>
          <w:szCs w:val="24"/>
          <w:rtl/>
        </w:rPr>
        <w:t>חזקה והתישנות במקרקעין ופקודת הסדר הקרקעות</w:t>
      </w:r>
      <w:r w:rsidRPr="00643EF4">
        <w:rPr>
          <w:rFonts w:ascii="Century" w:hAnsi="Century" w:hint="cs"/>
          <w:sz w:val="22"/>
          <w:rtl/>
        </w:rPr>
        <w:t xml:space="preserve"> 24-5, 44-40 (חוברת 2, 1987))</w:t>
      </w:r>
      <w:r w:rsidRPr="00643EF4">
        <w:rPr>
          <w:rFonts w:ascii="Century" w:hAnsi="Century" w:hint="cs"/>
          <w:rtl/>
        </w:rPr>
        <w:t xml:space="preserve">. </w:t>
      </w:r>
    </w:p>
    <w:p w14:paraId="7B8A8C1B" w14:textId="77777777" w:rsidR="000E5D20" w:rsidRPr="00643EF4" w:rsidRDefault="000E5D20" w:rsidP="000E5D20">
      <w:pPr>
        <w:pStyle w:val="Ruller4"/>
        <w:numPr>
          <w:ilvl w:val="0"/>
          <w:numId w:val="0"/>
        </w:numPr>
        <w:rPr>
          <w:rFonts w:ascii="Century" w:hAnsi="Century"/>
          <w:rtl/>
        </w:rPr>
      </w:pPr>
    </w:p>
    <w:p w14:paraId="0D2DE205" w14:textId="77777777" w:rsidR="000E5D20" w:rsidRPr="00643EF4" w:rsidRDefault="000E5D20" w:rsidP="000E5D20">
      <w:pPr>
        <w:pStyle w:val="Ruller4"/>
        <w:tabs>
          <w:tab w:val="num" w:pos="10307"/>
        </w:tabs>
        <w:rPr>
          <w:rFonts w:ascii="Century" w:hAnsi="Century"/>
          <w:rtl/>
        </w:rPr>
      </w:pPr>
      <w:r w:rsidRPr="00643EF4">
        <w:rPr>
          <w:rFonts w:hint="cs"/>
          <w:rtl/>
        </w:rPr>
        <w:t xml:space="preserve">היועץ המשפטי לממשלה הוסיף והפנה כאמצעי חלופי שפגיעתו פחותה אל דיני האזור המסדירים, בדומה לדין הישראלי, מצבים של בנייה ונטיעה במקרקעי הזולת. כך למשל, בנוגע למקרקעין מסוג </w:t>
      </w:r>
      <w:r w:rsidRPr="00643EF4">
        <w:rPr>
          <w:rFonts w:hint="eastAsia"/>
          <w:rtl/>
        </w:rPr>
        <w:t>מול</w:t>
      </w:r>
      <w:r w:rsidRPr="00643EF4">
        <w:rPr>
          <w:rFonts w:ascii="FrankRuehl" w:hAnsi="FrankRuehl" w:hint="cs"/>
          <w:rtl/>
        </w:rPr>
        <w:t>כּ</w:t>
      </w:r>
      <w:r w:rsidRPr="00643EF4">
        <w:rPr>
          <w:rFonts w:hint="cs"/>
          <w:rtl/>
        </w:rPr>
        <w:t xml:space="preserve"> (הכוונה היא לקרקע שבה </w:t>
      </w:r>
      <w:r w:rsidRPr="00643EF4">
        <w:rPr>
          <w:rFonts w:hint="eastAsia"/>
          <w:rtl/>
        </w:rPr>
        <w:t>גוף</w:t>
      </w:r>
      <w:r w:rsidRPr="00643EF4">
        <w:rPr>
          <w:rtl/>
        </w:rPr>
        <w:t xml:space="preserve"> </w:t>
      </w:r>
      <w:r w:rsidRPr="00643EF4">
        <w:rPr>
          <w:rFonts w:hint="eastAsia"/>
          <w:rtl/>
        </w:rPr>
        <w:t>הקרקע</w:t>
      </w:r>
      <w:r w:rsidRPr="00643EF4">
        <w:rPr>
          <w:rFonts w:hint="cs"/>
          <w:rtl/>
        </w:rPr>
        <w:t xml:space="preserve"> והפירות שייכים לבעל הקרקע. ראו </w:t>
      </w:r>
      <w:r w:rsidRPr="00643EF4">
        <w:rPr>
          <w:rFonts w:ascii="Century" w:hAnsi="Century" w:cs="Miriam" w:hint="cs"/>
          <w:b/>
          <w:spacing w:val="0"/>
          <w:sz w:val="22"/>
          <w:szCs w:val="24"/>
          <w:rtl/>
        </w:rPr>
        <w:t>דוכן</w:t>
      </w:r>
      <w:r w:rsidRPr="00643EF4">
        <w:rPr>
          <w:rFonts w:ascii="Century" w:hAnsi="Century" w:hint="cs"/>
          <w:sz w:val="22"/>
          <w:rtl/>
        </w:rPr>
        <w:t xml:space="preserve">, בעמ' 42-39), ההסדר הרלוונטי קובע כי מי שבנה או נטע במקרקעין מתוך זכות משוערת מדומה, ושווים של הבניינים או העצים עולה על שווי המקרקעין </w:t>
      </w:r>
      <w:r w:rsidRPr="00643EF4">
        <w:rPr>
          <w:rFonts w:ascii="Century" w:hAnsi="Century"/>
          <w:sz w:val="22"/>
          <w:rtl/>
        </w:rPr>
        <w:t>–</w:t>
      </w:r>
      <w:r w:rsidRPr="00643EF4">
        <w:rPr>
          <w:rFonts w:ascii="Century" w:hAnsi="Century" w:hint="cs"/>
          <w:sz w:val="22"/>
          <w:rtl/>
        </w:rPr>
        <w:t xml:space="preserve"> יכול המקים לשלם לבעל המקרקעין את שווים ובכך לרכוש אותם (</w:t>
      </w:r>
      <w:r w:rsidRPr="00643EF4">
        <w:rPr>
          <w:rFonts w:ascii="Century" w:hAnsi="Century" w:cs="Miriam" w:hint="cs"/>
          <w:b/>
          <w:spacing w:val="0"/>
          <w:sz w:val="22"/>
          <w:szCs w:val="24"/>
          <w:rtl/>
        </w:rPr>
        <w:t>דוכן</w:t>
      </w:r>
      <w:r w:rsidRPr="00643EF4">
        <w:rPr>
          <w:rFonts w:ascii="Century" w:hAnsi="Century" w:hint="cs"/>
          <w:sz w:val="22"/>
          <w:rtl/>
        </w:rPr>
        <w:t>, בעמ' 197), אך נדרש שלמקים יהיה צידוק משפטי לעשות את הפעולה (</w:t>
      </w:r>
      <w:r w:rsidRPr="00643EF4">
        <w:rPr>
          <w:rFonts w:ascii="Century" w:hAnsi="Century" w:cs="Miriam" w:hint="cs"/>
          <w:b/>
          <w:spacing w:val="0"/>
          <w:sz w:val="22"/>
          <w:szCs w:val="24"/>
          <w:rtl/>
        </w:rPr>
        <w:t>שם</w:t>
      </w:r>
      <w:r w:rsidRPr="00643EF4">
        <w:rPr>
          <w:rFonts w:ascii="Century" w:hAnsi="Century" w:hint="cs"/>
          <w:sz w:val="22"/>
          <w:rtl/>
        </w:rPr>
        <w:t>).</w:t>
      </w:r>
      <w:r w:rsidRPr="00643EF4">
        <w:rPr>
          <w:rFonts w:hint="cs"/>
          <w:rtl/>
        </w:rPr>
        <w:t xml:space="preserve"> לגבי קרקע מסוג מירי מבחין הדין בין שני מצבים: </w:t>
      </w:r>
      <w:r w:rsidRPr="00643EF4">
        <w:rPr>
          <w:rFonts w:ascii="Century" w:hAnsi="Century" w:cs="Miriam" w:hint="cs"/>
          <w:b/>
          <w:spacing w:val="0"/>
          <w:sz w:val="22"/>
          <w:szCs w:val="24"/>
          <w:rtl/>
        </w:rPr>
        <w:t>האחד</w:t>
      </w:r>
      <w:r w:rsidRPr="00643EF4">
        <w:rPr>
          <w:rFonts w:hint="cs"/>
          <w:rtl/>
        </w:rPr>
        <w:t xml:space="preserve">, כאשר המקים פעל לפי שטר רישום (כלומר, מצב של טעות רישומית שכתוצאה ממנה ישנם שניים הטוענים לבעלות בזכויות השימוש במקרקעין). במקרה כזה נקבע בחוק מנגנון שלפיו אם עלה שווי הבנוי על שווי הקרקע, רשאי המקים לשלם לבעל הזכויות המקורי את שווי המקרקעין ולהחזיק בהם. אך אם עלה שווי המקרקעין על שווי הבנוי, בעל הזכויות המקורי ישלם למקים את שווי המחוברים ויהיה בעל הזכויות בהם ובמקרקעין. </w:t>
      </w:r>
      <w:r w:rsidRPr="00643EF4">
        <w:rPr>
          <w:rFonts w:ascii="Century" w:hAnsi="Century" w:cs="Miriam" w:hint="cs"/>
          <w:b/>
          <w:spacing w:val="0"/>
          <w:sz w:val="22"/>
          <w:szCs w:val="24"/>
          <w:rtl/>
        </w:rPr>
        <w:t xml:space="preserve">השני </w:t>
      </w:r>
      <w:r w:rsidRPr="00643EF4">
        <w:rPr>
          <w:rFonts w:hint="cs"/>
          <w:rtl/>
        </w:rPr>
        <w:t>הוא מצב שבו אין טעות רישומית ובמקרה כזה זכות הבחירה אם להרוס את המחוברים או לשלם את שווים למקים נתונה לבעל הזכויות המקורי (</w:t>
      </w:r>
      <w:r w:rsidRPr="00643EF4">
        <w:rPr>
          <w:rFonts w:ascii="Century" w:hAnsi="Century" w:cs="Miriam" w:hint="cs"/>
          <w:b/>
          <w:spacing w:val="0"/>
          <w:sz w:val="22"/>
          <w:szCs w:val="24"/>
          <w:rtl/>
        </w:rPr>
        <w:t>דוכן</w:t>
      </w:r>
      <w:r w:rsidRPr="00643EF4">
        <w:rPr>
          <w:rFonts w:ascii="Century" w:hAnsi="Century" w:hint="cs"/>
          <w:sz w:val="22"/>
          <w:rtl/>
        </w:rPr>
        <w:t xml:space="preserve">, בעמ' 198-197; </w:t>
      </w:r>
      <w:r w:rsidRPr="00643EF4">
        <w:rPr>
          <w:rFonts w:hint="cs"/>
          <w:rtl/>
        </w:rPr>
        <w:t xml:space="preserve">ראו סעיפים 10 ו-12 לחוק התצרוף (חזקה ושימוש בקרקע) בנכסי דלא ניידי מס. (49) לשנת 1953; להרחבה על ההסדרים החלים באזור ראו עוד הראל ארנון "'בנייה ונטיעה במקרקעי הזולת' הדין החל ביהודה ושומרון" </w:t>
      </w:r>
      <w:r w:rsidRPr="00643EF4">
        <w:rPr>
          <w:rFonts w:ascii="Century" w:hAnsi="Century" w:cs="Miriam" w:hint="cs"/>
          <w:b/>
          <w:spacing w:val="0"/>
          <w:sz w:val="22"/>
          <w:szCs w:val="24"/>
          <w:rtl/>
        </w:rPr>
        <w:t>דיני מקרקעין והמשפט הבינלאומי ביהודה ושומרון</w:t>
      </w:r>
      <w:r w:rsidRPr="00643EF4">
        <w:rPr>
          <w:rFonts w:ascii="Century" w:hAnsi="Century" w:hint="cs"/>
          <w:sz w:val="22"/>
          <w:rtl/>
        </w:rPr>
        <w:t xml:space="preserve"> 325, 339-334 (2013) (להלן:</w:t>
      </w:r>
      <w:r w:rsidRPr="00643EF4">
        <w:rPr>
          <w:rFonts w:ascii="Century" w:hAnsi="Century" w:cs="Miriam" w:hint="cs"/>
          <w:b/>
          <w:spacing w:val="0"/>
          <w:sz w:val="22"/>
          <w:szCs w:val="24"/>
          <w:rtl/>
        </w:rPr>
        <w:t xml:space="preserve"> ארנון</w:t>
      </w:r>
      <w:r w:rsidRPr="00643EF4">
        <w:rPr>
          <w:rFonts w:ascii="Century" w:hAnsi="Century" w:hint="cs"/>
          <w:sz w:val="22"/>
          <w:rtl/>
        </w:rPr>
        <w:t>))</w:t>
      </w:r>
      <w:r w:rsidRPr="00643EF4">
        <w:rPr>
          <w:rFonts w:hint="cs"/>
          <w:rtl/>
        </w:rPr>
        <w:t xml:space="preserve">. </w:t>
      </w:r>
    </w:p>
    <w:p w14:paraId="3444972F" w14:textId="77777777" w:rsidR="000E5D20" w:rsidRPr="00643EF4" w:rsidRDefault="000E5D20" w:rsidP="000E5D20">
      <w:pPr>
        <w:pStyle w:val="Ruller4"/>
        <w:numPr>
          <w:ilvl w:val="0"/>
          <w:numId w:val="0"/>
        </w:numPr>
        <w:rPr>
          <w:rtl/>
        </w:rPr>
      </w:pPr>
    </w:p>
    <w:p w14:paraId="4668B6D9" w14:textId="77777777" w:rsidR="000E5D20" w:rsidRPr="00643EF4" w:rsidRDefault="000E5D20" w:rsidP="000E5D20">
      <w:pPr>
        <w:pStyle w:val="Ruller4"/>
        <w:tabs>
          <w:tab w:val="num" w:pos="10307"/>
        </w:tabs>
      </w:pPr>
      <w:r w:rsidRPr="00643EF4">
        <w:rPr>
          <w:rFonts w:hint="cs"/>
          <w:rtl/>
        </w:rPr>
        <w:t xml:space="preserve">היועץ המשפטי לממשלה לא קבע בטיעוניו מסמרות באשר לכל אחד מן ההסדרים החלופיים שאותם פרס או באשר לאופן יישומם, אך בחינה ראשונית ביותר של כל אחד מן ההסדרים שצוינו מעלה, על פני הדברים, כי פגיעתם בזכויות של התושבים הפלסטינים פחותה, וכי לכאורה יש בהם משום איזון מידתי יותר בין הזכויות והאינטרסים המתנגשים. נוסף על כך </w:t>
      </w:r>
      <w:r w:rsidRPr="00643EF4">
        <w:rPr>
          <w:rtl/>
        </w:rPr>
        <w:t>–</w:t>
      </w:r>
      <w:r w:rsidRPr="00643EF4">
        <w:rPr>
          <w:rFonts w:hint="cs"/>
          <w:rtl/>
        </w:rPr>
        <w:t xml:space="preserve"> והוא עיקר </w:t>
      </w:r>
      <w:r w:rsidRPr="00643EF4">
        <w:rPr>
          <w:rtl/>
        </w:rPr>
        <w:t>–</w:t>
      </w:r>
      <w:r w:rsidRPr="00643EF4">
        <w:rPr>
          <w:rFonts w:hint="cs"/>
          <w:rtl/>
        </w:rPr>
        <w:t xml:space="preserve"> הסדרים אלה מחייבים בחינה פרטנית של כל מקרה לפי נסיבותיו, תוך מתן משקל למעמדם המיוחד של הפלסטינים תושבי האזור, לזכות הקניין שלהם ולחובתו של המפקד הצבאי על פי דיני התפיסה הלוחמתית להגן על זכות זו (</w:t>
      </w:r>
      <w:r w:rsidRPr="00643EF4">
        <w:rPr>
          <w:rFonts w:ascii="FrankRuehl" w:hAnsi="FrankRuehl" w:hint="cs"/>
          <w:color w:val="000000"/>
          <w:sz w:val="28"/>
          <w:rtl/>
        </w:rPr>
        <w:t xml:space="preserve">עניין </w:t>
      </w:r>
      <w:r w:rsidRPr="00643EF4">
        <w:rPr>
          <w:rFonts w:ascii="Century" w:hAnsi="Century" w:cs="Miriam" w:hint="cs"/>
          <w:b/>
          <w:spacing w:val="0"/>
          <w:sz w:val="22"/>
          <w:szCs w:val="24"/>
          <w:rtl/>
        </w:rPr>
        <w:t>עבדאלקאדר</w:t>
      </w:r>
      <w:r w:rsidRPr="00643EF4">
        <w:rPr>
          <w:rFonts w:ascii="Century" w:hAnsi="Century" w:hint="cs"/>
          <w:sz w:val="22"/>
          <w:rtl/>
        </w:rPr>
        <w:t xml:space="preserve">, פסקה </w:t>
      </w:r>
      <w:r w:rsidRPr="00643EF4">
        <w:rPr>
          <w:rFonts w:ascii="Century" w:hAnsi="Century" w:hint="cs"/>
          <w:rtl/>
        </w:rPr>
        <w:t xml:space="preserve">11; ראו גם עניין </w:t>
      </w:r>
      <w:r w:rsidRPr="00643EF4">
        <w:rPr>
          <w:rFonts w:ascii="Century" w:hAnsi="Century" w:cs="Miriam" w:hint="cs"/>
          <w:b/>
          <w:spacing w:val="0"/>
          <w:sz w:val="22"/>
          <w:szCs w:val="24"/>
          <w:rtl/>
        </w:rPr>
        <w:t>חושיה</w:t>
      </w:r>
      <w:r w:rsidRPr="00643EF4">
        <w:rPr>
          <w:rFonts w:ascii="Century" w:hAnsi="Century" w:hint="cs"/>
          <w:sz w:val="22"/>
          <w:rtl/>
        </w:rPr>
        <w:t xml:space="preserve">, פסקה 4 </w:t>
      </w:r>
      <w:r w:rsidRPr="00643EF4">
        <w:rPr>
          <w:rFonts w:ascii="Century" w:hAnsi="Century" w:hint="cs"/>
          <w:sz w:val="22"/>
          <w:rtl/>
        </w:rPr>
        <w:lastRenderedPageBreak/>
        <w:t xml:space="preserve">לחוות הדעת של המשנה לנשיא (כתוארה אז) </w:t>
      </w:r>
      <w:r w:rsidRPr="00643EF4">
        <w:rPr>
          <w:rFonts w:ascii="Century" w:hAnsi="Century" w:cs="Miriam" w:hint="cs"/>
          <w:b/>
          <w:spacing w:val="0"/>
          <w:sz w:val="22"/>
          <w:szCs w:val="24"/>
          <w:rtl/>
        </w:rPr>
        <w:t>מ' נאור</w:t>
      </w:r>
      <w:r w:rsidRPr="00643EF4">
        <w:rPr>
          <w:rFonts w:ascii="Century" w:hAnsi="Century" w:hint="cs"/>
          <w:sz w:val="22"/>
          <w:rtl/>
        </w:rPr>
        <w:t xml:space="preserve"> וחוות דעתו של השופט </w:t>
      </w:r>
      <w:r w:rsidRPr="00643EF4">
        <w:rPr>
          <w:rFonts w:ascii="Century" w:hAnsi="Century" w:cs="Miriam" w:hint="cs"/>
          <w:b/>
          <w:spacing w:val="0"/>
          <w:sz w:val="22"/>
          <w:szCs w:val="24"/>
          <w:rtl/>
        </w:rPr>
        <w:t>ע' פוגלמן</w:t>
      </w:r>
      <w:r w:rsidRPr="00643EF4">
        <w:rPr>
          <w:rFonts w:ascii="Century" w:hAnsi="Century" w:hint="cs"/>
          <w:sz w:val="22"/>
          <w:rtl/>
        </w:rPr>
        <w:t xml:space="preserve">; עניין </w:t>
      </w:r>
      <w:r w:rsidRPr="00643EF4">
        <w:rPr>
          <w:rFonts w:ascii="Century" w:hAnsi="Century" w:cs="Miriam" w:hint="cs"/>
          <w:b/>
          <w:spacing w:val="0"/>
          <w:sz w:val="22"/>
          <w:szCs w:val="24"/>
          <w:rtl/>
        </w:rPr>
        <w:t>חמאד</w:t>
      </w:r>
      <w:r w:rsidRPr="00643EF4">
        <w:rPr>
          <w:rFonts w:ascii="Century" w:hAnsi="Century" w:hint="cs"/>
          <w:sz w:val="22"/>
          <w:rtl/>
        </w:rPr>
        <w:t>, פסקה 15)</w:t>
      </w:r>
      <w:r w:rsidRPr="00643EF4">
        <w:rPr>
          <w:rFonts w:hint="cs"/>
          <w:rtl/>
        </w:rPr>
        <w:t xml:space="preserve">. </w:t>
      </w:r>
    </w:p>
    <w:p w14:paraId="3A3B7554" w14:textId="77777777" w:rsidR="000E5D20" w:rsidRPr="00643EF4" w:rsidRDefault="000E5D20" w:rsidP="000E5D20">
      <w:pPr>
        <w:pStyle w:val="Ruller4"/>
        <w:numPr>
          <w:ilvl w:val="0"/>
          <w:numId w:val="0"/>
        </w:numPr>
      </w:pPr>
    </w:p>
    <w:p w14:paraId="1610F0D5" w14:textId="68CF99D8" w:rsidR="000E5D20" w:rsidRPr="00643EF4" w:rsidRDefault="000E5D20" w:rsidP="00F86CF9">
      <w:pPr>
        <w:pStyle w:val="Ruller4"/>
        <w:numPr>
          <w:ilvl w:val="0"/>
          <w:numId w:val="0"/>
        </w:numPr>
        <w:rPr>
          <w:rtl/>
        </w:rPr>
      </w:pPr>
      <w:r w:rsidRPr="00643EF4">
        <w:rPr>
          <w:rtl/>
        </w:rPr>
        <w:tab/>
      </w:r>
      <w:r w:rsidRPr="00643EF4">
        <w:rPr>
          <w:rFonts w:hint="cs"/>
          <w:rtl/>
        </w:rPr>
        <w:t xml:space="preserve">החובה לנקוט אמצעי שפגיעתו פחותה משמעותה, בין היתר, הימנעות משימוש בהסדר גורף והעדפת אמצעי הכרוך בבדיקה אינדיבידואלית. עמד על כך הנשיא (בדימ') </w:t>
      </w:r>
      <w:r w:rsidRPr="00643EF4">
        <w:rPr>
          <w:rFonts w:ascii="Century" w:hAnsi="Century" w:cs="Miriam" w:hint="cs"/>
          <w:b/>
          <w:spacing w:val="0"/>
          <w:sz w:val="22"/>
          <w:szCs w:val="24"/>
          <w:rtl/>
        </w:rPr>
        <w:t>א' ברק</w:t>
      </w:r>
      <w:r w:rsidRPr="00643EF4">
        <w:rPr>
          <w:rFonts w:hint="cs"/>
          <w:rtl/>
        </w:rPr>
        <w:t xml:space="preserve"> בעניין </w:t>
      </w:r>
      <w:r w:rsidRPr="00643EF4">
        <w:rPr>
          <w:rFonts w:ascii="Century" w:hAnsi="Century" w:cs="Miriam" w:hint="cs"/>
          <w:b/>
          <w:spacing w:val="0"/>
          <w:sz w:val="22"/>
          <w:szCs w:val="24"/>
          <w:rtl/>
        </w:rPr>
        <w:t>הנזיקים האזרחיים</w:t>
      </w:r>
      <w:r w:rsidRPr="00643EF4">
        <w:rPr>
          <w:rFonts w:hint="cs"/>
          <w:rtl/>
        </w:rPr>
        <w:t xml:space="preserve"> (תוך שהפנה לעמדתו </w:t>
      </w:r>
      <w:r w:rsidR="00F86CF9" w:rsidRPr="00643EF4">
        <w:rPr>
          <w:rFonts w:hint="eastAsia"/>
          <w:rtl/>
        </w:rPr>
        <w:t>בבג</w:t>
      </w:r>
      <w:r w:rsidR="00F86CF9" w:rsidRPr="00643EF4">
        <w:rPr>
          <w:rtl/>
        </w:rPr>
        <w:t>"</w:t>
      </w:r>
      <w:r w:rsidR="00F86CF9" w:rsidRPr="00643EF4">
        <w:rPr>
          <w:rFonts w:hint="eastAsia"/>
          <w:rtl/>
        </w:rPr>
        <w:t>ץ</w:t>
      </w:r>
      <w:r w:rsidR="00F86CF9" w:rsidRPr="00643EF4">
        <w:rPr>
          <w:rtl/>
        </w:rPr>
        <w:t xml:space="preserve"> 7052/03 </w:t>
      </w:r>
      <w:r w:rsidR="00F86CF9" w:rsidRPr="00643EF4">
        <w:rPr>
          <w:rFonts w:ascii="Century" w:hAnsi="Century" w:cs="Miriam" w:hint="eastAsia"/>
          <w:b/>
          <w:spacing w:val="0"/>
          <w:sz w:val="22"/>
          <w:szCs w:val="24"/>
          <w:rtl/>
        </w:rPr>
        <w:t>עדאלה</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המרכז</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המשפטי</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לזכויות</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המיעוט</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הערבי</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בישראל</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נ</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שר</w:t>
      </w:r>
      <w:r w:rsidR="00F86CF9" w:rsidRPr="00643EF4">
        <w:rPr>
          <w:rFonts w:ascii="Century" w:hAnsi="Century" w:cs="Miriam"/>
          <w:b/>
          <w:spacing w:val="0"/>
          <w:sz w:val="22"/>
          <w:szCs w:val="24"/>
          <w:rtl/>
        </w:rPr>
        <w:t xml:space="preserve"> </w:t>
      </w:r>
      <w:r w:rsidR="00F86CF9" w:rsidRPr="00643EF4">
        <w:rPr>
          <w:rFonts w:ascii="Century" w:hAnsi="Century" w:cs="Miriam" w:hint="eastAsia"/>
          <w:b/>
          <w:spacing w:val="0"/>
          <w:sz w:val="22"/>
          <w:szCs w:val="24"/>
          <w:rtl/>
        </w:rPr>
        <w:t>הפנים</w:t>
      </w:r>
      <w:r w:rsidR="00F86CF9" w:rsidRPr="00643EF4">
        <w:rPr>
          <w:rtl/>
        </w:rPr>
        <w:t>,</w:t>
      </w:r>
      <w:r w:rsidR="00F86CF9" w:rsidRPr="00643EF4">
        <w:rPr>
          <w:rFonts w:hint="cs"/>
          <w:rtl/>
        </w:rPr>
        <w:t xml:space="preserve"> פ"</w:t>
      </w:r>
      <w:r w:rsidR="00F86CF9" w:rsidRPr="00643EF4">
        <w:rPr>
          <w:rFonts w:hint="eastAsia"/>
          <w:rtl/>
        </w:rPr>
        <w:t>ד</w:t>
      </w:r>
      <w:r w:rsidR="00F86CF9" w:rsidRPr="00643EF4">
        <w:rPr>
          <w:rtl/>
        </w:rPr>
        <w:t xml:space="preserve"> </w:t>
      </w:r>
      <w:r w:rsidR="00F86CF9" w:rsidRPr="00643EF4">
        <w:rPr>
          <w:rFonts w:hint="eastAsia"/>
          <w:rtl/>
        </w:rPr>
        <w:t>סא</w:t>
      </w:r>
      <w:r w:rsidR="00F86CF9" w:rsidRPr="00643EF4">
        <w:rPr>
          <w:rtl/>
        </w:rPr>
        <w:t>(2) 202 (2006)</w:t>
      </w:r>
      <w:r w:rsidRPr="00643EF4">
        <w:rPr>
          <w:rFonts w:hint="cs"/>
          <w:rtl/>
        </w:rPr>
        <w:t>) בציינו:</w:t>
      </w:r>
    </w:p>
    <w:p w14:paraId="22F3E2A3" w14:textId="77777777" w:rsidR="000E5D20" w:rsidRPr="00643EF4" w:rsidRDefault="000E5D20" w:rsidP="000E5D20">
      <w:pPr>
        <w:pStyle w:val="ruller51"/>
        <w:rPr>
          <w:rFonts w:cs="FrankRuehl"/>
          <w:sz w:val="28"/>
          <w:szCs w:val="28"/>
          <w:rtl/>
        </w:rPr>
      </w:pPr>
    </w:p>
    <w:p w14:paraId="53E156DD" w14:textId="35B2DAC3" w:rsidR="00F24D9F" w:rsidRPr="00643EF4" w:rsidRDefault="000E5D20" w:rsidP="00F24D9F">
      <w:pPr>
        <w:pStyle w:val="Ruller5"/>
        <w:rPr>
          <w:rFonts w:ascii="Century" w:hAnsi="Century" w:cs="Miriam"/>
          <w:b/>
          <w:spacing w:val="0"/>
          <w:szCs w:val="24"/>
          <w:rtl/>
        </w:rPr>
      </w:pPr>
      <w:r w:rsidRPr="00643EF4">
        <w:rPr>
          <w:rFonts w:hint="cs"/>
          <w:rtl/>
        </w:rPr>
        <w:t>"ברבים מהמקרים השימוש באמת מידה פרטנית-אינדיבידואלית משיג את התכלית הראויה תוך שימוש באמצעי שפגיעתו בזכות האדם פחותה. עיקרון זה מקובל בפסיקתו של בית המשפט העליון... הגבלה גורפת של זכות, אשר אינה מבוססת על בדיקה אינדיבידואלית, הינה אמצעי חשוד בחוסר מידתיות. כך הדבר במשפטנו-שלנו. כך הדבר במשפט המשווה" (</w:t>
      </w:r>
      <w:r w:rsidRPr="00643EF4">
        <w:rPr>
          <w:rFonts w:ascii="Century" w:hAnsi="Century" w:cs="Miriam" w:hint="cs"/>
          <w:b/>
          <w:spacing w:val="0"/>
          <w:szCs w:val="24"/>
          <w:rtl/>
        </w:rPr>
        <w:t>שם</w:t>
      </w:r>
      <w:r w:rsidRPr="00643EF4">
        <w:rPr>
          <w:rFonts w:hint="cs"/>
          <w:rtl/>
        </w:rPr>
        <w:t xml:space="preserve">, פסקה 37 לחוות הדעת של הנשיא (בדימ') </w:t>
      </w:r>
      <w:r w:rsidRPr="00643EF4">
        <w:rPr>
          <w:rFonts w:ascii="Century" w:hAnsi="Century" w:cs="Miriam" w:hint="cs"/>
          <w:b/>
          <w:spacing w:val="0"/>
          <w:szCs w:val="24"/>
          <w:rtl/>
        </w:rPr>
        <w:t>א' ברק</w:t>
      </w:r>
      <w:r w:rsidRPr="00643EF4">
        <w:rPr>
          <w:rFonts w:hint="cs"/>
          <w:rtl/>
        </w:rPr>
        <w:t xml:space="preserve">; השוו עוד </w:t>
      </w:r>
      <w:r w:rsidRPr="00643EF4">
        <w:rPr>
          <w:rFonts w:ascii="FrankRuehl" w:hAnsi="FrankRuehl" w:hint="cs"/>
          <w:color w:val="000000"/>
          <w:sz w:val="28"/>
          <w:rtl/>
        </w:rPr>
        <w:t xml:space="preserve">בג"ץ 10662/04 </w:t>
      </w:r>
      <w:r w:rsidRPr="00643EF4">
        <w:rPr>
          <w:rFonts w:ascii="Century" w:hAnsi="Century" w:cs="Miriam" w:hint="cs"/>
          <w:b/>
          <w:spacing w:val="0"/>
          <w:szCs w:val="24"/>
          <w:rtl/>
        </w:rPr>
        <w:t>חסן נ' המוסד לביטוח לאומי</w:t>
      </w:r>
      <w:r w:rsidRPr="00643EF4">
        <w:rPr>
          <w:rFonts w:ascii="Century" w:hAnsi="Century" w:hint="cs"/>
          <w:rtl/>
        </w:rPr>
        <w:t>,</w:t>
      </w:r>
      <w:r w:rsidRPr="00643EF4">
        <w:rPr>
          <w:rFonts w:ascii="FrankRuehl" w:hAnsi="FrankRuehl" w:hint="cs"/>
          <w:color w:val="000000"/>
          <w:sz w:val="28"/>
          <w:rtl/>
        </w:rPr>
        <w:t xml:space="preserve"> פסקאות 67-66 לחוות הדעת של הנשיאה </w:t>
      </w:r>
      <w:r w:rsidRPr="00643EF4">
        <w:rPr>
          <w:rFonts w:ascii="Century" w:hAnsi="Century" w:cs="Miriam" w:hint="cs"/>
          <w:b/>
          <w:spacing w:val="0"/>
          <w:szCs w:val="24"/>
          <w:rtl/>
        </w:rPr>
        <w:t>ד' ביניש</w:t>
      </w:r>
      <w:r w:rsidRPr="00643EF4">
        <w:rPr>
          <w:rFonts w:ascii="FrankRuehl" w:hAnsi="FrankRuehl" w:hint="cs"/>
          <w:color w:val="000000"/>
          <w:sz w:val="28"/>
          <w:rtl/>
        </w:rPr>
        <w:t>‏</w:t>
      </w:r>
      <w:r w:rsidRPr="00643EF4">
        <w:rPr>
          <w:rFonts w:hint="cs"/>
          <w:rtl/>
        </w:rPr>
        <w:t xml:space="preserve"> (28.2.2012)</w:t>
      </w:r>
      <w:r w:rsidR="00F24D9F" w:rsidRPr="00643EF4">
        <w:rPr>
          <w:rFonts w:hint="cs"/>
          <w:rtl/>
        </w:rPr>
        <w:t xml:space="preserve">; ובג"ץ </w:t>
      </w:r>
      <w:r w:rsidR="00F24D9F" w:rsidRPr="00643EF4">
        <w:rPr>
          <w:rtl/>
        </w:rPr>
        <w:t xml:space="preserve">781/15 </w:t>
      </w:r>
      <w:r w:rsidR="00F24D9F" w:rsidRPr="00643EF4">
        <w:rPr>
          <w:rFonts w:ascii="Century" w:hAnsi="Century" w:cs="Miriam"/>
          <w:b/>
          <w:spacing w:val="0"/>
          <w:szCs w:val="24"/>
          <w:rtl/>
        </w:rPr>
        <w:t>ארד-פנקס נ' הוועדה לאישור הסכמים לנשיאת עוברים על פי</w:t>
      </w:r>
      <w:r w:rsidR="00F24D9F" w:rsidRPr="00643EF4">
        <w:rPr>
          <w:rFonts w:ascii="Century" w:hAnsi="Century" w:cs="Miriam" w:hint="cs"/>
          <w:b/>
          <w:spacing w:val="0"/>
          <w:szCs w:val="24"/>
          <w:rtl/>
        </w:rPr>
        <w:t xml:space="preserve"> חוק</w:t>
      </w:r>
    </w:p>
    <w:p w14:paraId="014A5718" w14:textId="32B19E07" w:rsidR="000E5D20" w:rsidRPr="00643EF4" w:rsidRDefault="00F24D9F" w:rsidP="00F24D9F">
      <w:pPr>
        <w:pStyle w:val="Ruller5"/>
        <w:rPr>
          <w:rtl/>
        </w:rPr>
      </w:pPr>
      <w:r w:rsidRPr="00643EF4">
        <w:rPr>
          <w:rFonts w:ascii="Century" w:hAnsi="Century" w:cs="Miriam"/>
          <w:b/>
          <w:spacing w:val="0"/>
          <w:szCs w:val="24"/>
          <w:rtl/>
        </w:rPr>
        <w:t>הסכמים לנשיאת עוברים (אישור הסכם ומעמד הילוד), התשנ"ו-1996</w:t>
      </w:r>
      <w:r w:rsidRPr="00643EF4">
        <w:rPr>
          <w:rtl/>
        </w:rPr>
        <w:t xml:space="preserve">, פסקה </w:t>
      </w:r>
      <w:r w:rsidRPr="00643EF4">
        <w:rPr>
          <w:rFonts w:hint="cs"/>
          <w:rtl/>
        </w:rPr>
        <w:t>29-28</w:t>
      </w:r>
      <w:r w:rsidRPr="00643EF4">
        <w:rPr>
          <w:rtl/>
        </w:rPr>
        <w:t xml:space="preserve"> לחוות דעתי (27.2.2020)</w:t>
      </w:r>
      <w:r w:rsidR="000E5D20" w:rsidRPr="00643EF4">
        <w:rPr>
          <w:rFonts w:hint="cs"/>
          <w:rtl/>
        </w:rPr>
        <w:t xml:space="preserve">). </w:t>
      </w:r>
    </w:p>
    <w:p w14:paraId="1BFBD8F6" w14:textId="77777777" w:rsidR="000E5D20" w:rsidRPr="00643EF4" w:rsidRDefault="000E5D20" w:rsidP="000E5D20">
      <w:pPr>
        <w:pStyle w:val="Ruller4"/>
        <w:numPr>
          <w:ilvl w:val="0"/>
          <w:numId w:val="0"/>
        </w:numPr>
        <w:rPr>
          <w:rtl/>
        </w:rPr>
      </w:pPr>
    </w:p>
    <w:p w14:paraId="27BF1369" w14:textId="172EB379" w:rsidR="000E5D20" w:rsidRPr="00643EF4" w:rsidRDefault="000E5D20" w:rsidP="000E5D20">
      <w:pPr>
        <w:pStyle w:val="Ruller4"/>
        <w:tabs>
          <w:tab w:val="num" w:pos="10307"/>
        </w:tabs>
        <w:rPr>
          <w:rtl/>
        </w:rPr>
      </w:pPr>
      <w:r w:rsidRPr="00643EF4">
        <w:rPr>
          <w:rtl/>
        </w:rPr>
        <w:tab/>
      </w:r>
      <w:r w:rsidRPr="00643EF4">
        <w:rPr>
          <w:rFonts w:hint="cs"/>
          <w:rtl/>
        </w:rPr>
        <w:t xml:space="preserve">האם במקרה שלפנינו החלת אחד מההסדרים הנזכרים המקיימים בחינה פרטנית (או מכלול של הסדרים כאלה) </w:t>
      </w:r>
      <w:r w:rsidRPr="00643EF4">
        <w:rPr>
          <w:rtl/>
        </w:rPr>
        <w:t>–</w:t>
      </w:r>
      <w:r w:rsidRPr="00643EF4">
        <w:rPr>
          <w:rFonts w:hint="cs"/>
          <w:rtl/>
        </w:rPr>
        <w:t xml:space="preserve"> חלף ההסדר הגורף שבחוק </w:t>
      </w:r>
      <w:r w:rsidRPr="00643EF4">
        <w:rPr>
          <w:rtl/>
        </w:rPr>
        <w:t>–</w:t>
      </w:r>
      <w:r w:rsidRPr="00643EF4">
        <w:rPr>
          <w:rFonts w:hint="cs"/>
          <w:rtl/>
        </w:rPr>
        <w:t xml:space="preserve"> יש בו כדי להשיג את מטרות החקיקה? </w:t>
      </w:r>
      <w:r w:rsidRPr="00643EF4">
        <w:rPr>
          <w:rFonts w:hint="eastAsia"/>
          <w:rtl/>
        </w:rPr>
        <w:t>כעולה</w:t>
      </w:r>
      <w:r w:rsidRPr="00643EF4">
        <w:rPr>
          <w:rtl/>
        </w:rPr>
        <w:t xml:space="preserve"> </w:t>
      </w:r>
      <w:r w:rsidRPr="00643EF4">
        <w:rPr>
          <w:rFonts w:ascii="Century" w:hAnsi="Century" w:hint="cs"/>
          <w:sz w:val="22"/>
          <w:rtl/>
        </w:rPr>
        <w:t xml:space="preserve">מהסדרים החלופיים שעליהם עמדנו </w:t>
      </w:r>
      <w:r w:rsidRPr="00643EF4">
        <w:rPr>
          <w:rFonts w:hint="eastAsia"/>
          <w:rtl/>
        </w:rPr>
        <w:t>נראה</w:t>
      </w:r>
      <w:r w:rsidRPr="00643EF4">
        <w:rPr>
          <w:rtl/>
        </w:rPr>
        <w:t xml:space="preserve"> </w:t>
      </w:r>
      <w:r w:rsidRPr="00643EF4">
        <w:rPr>
          <w:rFonts w:hint="eastAsia"/>
          <w:rtl/>
        </w:rPr>
        <w:t>כי</w:t>
      </w:r>
      <w:r w:rsidRPr="00643EF4">
        <w:rPr>
          <w:rtl/>
        </w:rPr>
        <w:t xml:space="preserve"> </w:t>
      </w:r>
      <w:r w:rsidRPr="00643EF4">
        <w:rPr>
          <w:rFonts w:hint="eastAsia"/>
          <w:rtl/>
        </w:rPr>
        <w:t>הם</w:t>
      </w:r>
      <w:r w:rsidRPr="00643EF4">
        <w:rPr>
          <w:rtl/>
        </w:rPr>
        <w:t xml:space="preserve"> </w:t>
      </w:r>
      <w:r w:rsidRPr="00643EF4">
        <w:rPr>
          <w:rFonts w:hint="eastAsia"/>
          <w:rtl/>
        </w:rPr>
        <w:t>יכולים</w:t>
      </w:r>
      <w:r w:rsidRPr="00643EF4">
        <w:rPr>
          <w:rtl/>
        </w:rPr>
        <w:t xml:space="preserve"> </w:t>
      </w:r>
      <w:r w:rsidRPr="00643EF4">
        <w:rPr>
          <w:rFonts w:hint="eastAsia"/>
          <w:rtl/>
        </w:rPr>
        <w:t>ליתן</w:t>
      </w:r>
      <w:r w:rsidRPr="00643EF4">
        <w:rPr>
          <w:rtl/>
        </w:rPr>
        <w:t xml:space="preserve"> </w:t>
      </w:r>
      <w:r w:rsidRPr="00643EF4">
        <w:rPr>
          <w:rFonts w:hint="eastAsia"/>
          <w:rtl/>
        </w:rPr>
        <w:t>מענה</w:t>
      </w:r>
      <w:r w:rsidRPr="00643EF4">
        <w:rPr>
          <w:rtl/>
        </w:rPr>
        <w:t xml:space="preserve"> </w:t>
      </w:r>
      <w:r w:rsidRPr="00643EF4">
        <w:rPr>
          <w:rFonts w:hint="eastAsia"/>
          <w:rtl/>
        </w:rPr>
        <w:t>במספר</w:t>
      </w:r>
      <w:r w:rsidRPr="00643EF4">
        <w:rPr>
          <w:rtl/>
        </w:rPr>
        <w:t xml:space="preserve"> </w:t>
      </w:r>
      <w:r w:rsidRPr="00643EF4">
        <w:rPr>
          <w:rFonts w:hint="eastAsia"/>
          <w:rtl/>
        </w:rPr>
        <w:t>לא</w:t>
      </w:r>
      <w:r w:rsidRPr="00643EF4">
        <w:rPr>
          <w:rtl/>
        </w:rPr>
        <w:t xml:space="preserve"> </w:t>
      </w:r>
      <w:r w:rsidRPr="00643EF4">
        <w:rPr>
          <w:rFonts w:hint="eastAsia"/>
          <w:rtl/>
        </w:rPr>
        <w:t>מבוטל</w:t>
      </w:r>
      <w:r w:rsidRPr="00643EF4">
        <w:rPr>
          <w:rtl/>
        </w:rPr>
        <w:t xml:space="preserve"> </w:t>
      </w:r>
      <w:r w:rsidRPr="00643EF4">
        <w:rPr>
          <w:rFonts w:hint="eastAsia"/>
          <w:rtl/>
        </w:rPr>
        <w:t>של</w:t>
      </w:r>
      <w:r w:rsidRPr="00643EF4">
        <w:rPr>
          <w:rtl/>
        </w:rPr>
        <w:t xml:space="preserve"> </w:t>
      </w:r>
      <w:r w:rsidRPr="00643EF4">
        <w:rPr>
          <w:rFonts w:hint="eastAsia"/>
          <w:rtl/>
        </w:rPr>
        <w:t>מקרים</w:t>
      </w:r>
      <w:r w:rsidRPr="00643EF4">
        <w:rPr>
          <w:rtl/>
        </w:rPr>
        <w:t xml:space="preserve"> </w:t>
      </w:r>
      <w:r w:rsidRPr="00643EF4">
        <w:rPr>
          <w:rFonts w:hint="eastAsia"/>
          <w:rtl/>
        </w:rPr>
        <w:t>הנופלים</w:t>
      </w:r>
      <w:r w:rsidRPr="00643EF4">
        <w:rPr>
          <w:rtl/>
        </w:rPr>
        <w:t xml:space="preserve"> </w:t>
      </w:r>
      <w:r w:rsidRPr="00643EF4">
        <w:rPr>
          <w:rFonts w:hint="eastAsia"/>
          <w:rtl/>
        </w:rPr>
        <w:t>בגדר</w:t>
      </w:r>
      <w:r w:rsidRPr="00643EF4">
        <w:rPr>
          <w:rtl/>
        </w:rPr>
        <w:t xml:space="preserve"> </w:t>
      </w:r>
      <w:r w:rsidRPr="00643EF4">
        <w:rPr>
          <w:rFonts w:hint="eastAsia"/>
          <w:rtl/>
        </w:rPr>
        <w:t>התכלית</w:t>
      </w:r>
      <w:r w:rsidRPr="00643EF4">
        <w:rPr>
          <w:rtl/>
        </w:rPr>
        <w:t xml:space="preserve"> </w:t>
      </w:r>
      <w:r w:rsidRPr="00643EF4">
        <w:rPr>
          <w:rFonts w:hint="eastAsia"/>
          <w:rtl/>
        </w:rPr>
        <w:t>הראויה</w:t>
      </w:r>
      <w:r w:rsidRPr="00643EF4">
        <w:rPr>
          <w:rtl/>
        </w:rPr>
        <w:t xml:space="preserve">, </w:t>
      </w:r>
      <w:r w:rsidRPr="00643EF4">
        <w:rPr>
          <w:rFonts w:hint="eastAsia"/>
          <w:rtl/>
        </w:rPr>
        <w:t>קרי</w:t>
      </w:r>
      <w:r w:rsidRPr="00643EF4">
        <w:rPr>
          <w:rtl/>
        </w:rPr>
        <w:t xml:space="preserve">, </w:t>
      </w:r>
      <w:r w:rsidRPr="00643EF4">
        <w:rPr>
          <w:rFonts w:hint="eastAsia"/>
          <w:rtl/>
        </w:rPr>
        <w:t>באותם</w:t>
      </w:r>
      <w:r w:rsidRPr="00643EF4">
        <w:rPr>
          <w:rtl/>
        </w:rPr>
        <w:t xml:space="preserve"> </w:t>
      </w:r>
      <w:r w:rsidRPr="00643EF4">
        <w:rPr>
          <w:rFonts w:hint="eastAsia"/>
          <w:rtl/>
        </w:rPr>
        <w:t>מקרים</w:t>
      </w:r>
      <w:r w:rsidRPr="00643EF4">
        <w:rPr>
          <w:rtl/>
        </w:rPr>
        <w:t xml:space="preserve"> </w:t>
      </w:r>
      <w:r w:rsidRPr="00643EF4">
        <w:rPr>
          <w:rFonts w:hint="cs"/>
          <w:rtl/>
        </w:rPr>
        <w:t>ש</w:t>
      </w:r>
      <w:r w:rsidRPr="00643EF4">
        <w:rPr>
          <w:rFonts w:hint="eastAsia"/>
          <w:rtl/>
        </w:rPr>
        <w:t>בהם</w:t>
      </w:r>
      <w:r w:rsidRPr="00643EF4">
        <w:rPr>
          <w:rtl/>
        </w:rPr>
        <w:t xml:space="preserve"> </w:t>
      </w:r>
      <w:r w:rsidRPr="00643EF4">
        <w:rPr>
          <w:rFonts w:hint="eastAsia"/>
          <w:rtl/>
        </w:rPr>
        <w:t>פעלו</w:t>
      </w:r>
      <w:r w:rsidRPr="00643EF4">
        <w:rPr>
          <w:rtl/>
        </w:rPr>
        <w:t xml:space="preserve"> </w:t>
      </w:r>
      <w:r w:rsidRPr="00643EF4">
        <w:rPr>
          <w:rFonts w:hint="eastAsia"/>
          <w:rtl/>
        </w:rPr>
        <w:t>המתיישבים</w:t>
      </w:r>
      <w:r w:rsidRPr="00643EF4">
        <w:rPr>
          <w:rtl/>
        </w:rPr>
        <w:t xml:space="preserve"> </w:t>
      </w:r>
      <w:r w:rsidRPr="00643EF4">
        <w:rPr>
          <w:rFonts w:hint="eastAsia"/>
          <w:rtl/>
        </w:rPr>
        <w:t>בתום</w:t>
      </w:r>
      <w:r w:rsidRPr="00643EF4">
        <w:rPr>
          <w:rtl/>
        </w:rPr>
        <w:t xml:space="preserve"> </w:t>
      </w:r>
      <w:r w:rsidRPr="00643EF4">
        <w:rPr>
          <w:rFonts w:hint="eastAsia"/>
          <w:rtl/>
        </w:rPr>
        <w:t>לב</w:t>
      </w:r>
      <w:r w:rsidRPr="00643EF4">
        <w:rPr>
          <w:rtl/>
        </w:rPr>
        <w:t xml:space="preserve"> </w:t>
      </w:r>
      <w:r w:rsidRPr="00643EF4">
        <w:rPr>
          <w:rFonts w:hint="eastAsia"/>
          <w:rtl/>
        </w:rPr>
        <w:t>ובהסתמך</w:t>
      </w:r>
      <w:r w:rsidRPr="00643EF4">
        <w:rPr>
          <w:rtl/>
        </w:rPr>
        <w:t xml:space="preserve"> </w:t>
      </w:r>
      <w:r w:rsidRPr="00643EF4">
        <w:rPr>
          <w:rFonts w:hint="eastAsia"/>
          <w:rtl/>
        </w:rPr>
        <w:t>על</w:t>
      </w:r>
      <w:r w:rsidRPr="00643EF4">
        <w:rPr>
          <w:rtl/>
        </w:rPr>
        <w:t xml:space="preserve"> </w:t>
      </w:r>
      <w:r w:rsidRPr="00643EF4">
        <w:rPr>
          <w:rFonts w:hint="eastAsia"/>
          <w:rtl/>
        </w:rPr>
        <w:t>מצגי</w:t>
      </w:r>
      <w:r w:rsidRPr="00643EF4">
        <w:rPr>
          <w:rtl/>
        </w:rPr>
        <w:t xml:space="preserve"> </w:t>
      </w:r>
      <w:r w:rsidRPr="00643EF4">
        <w:rPr>
          <w:rFonts w:hint="eastAsia"/>
          <w:rtl/>
        </w:rPr>
        <w:t>הרשויות</w:t>
      </w:r>
      <w:r w:rsidRPr="00643EF4">
        <w:rPr>
          <w:rtl/>
        </w:rPr>
        <w:t xml:space="preserve"> </w:t>
      </w:r>
      <w:r w:rsidRPr="00643EF4">
        <w:rPr>
          <w:rFonts w:hint="eastAsia"/>
          <w:rtl/>
        </w:rPr>
        <w:t>המוסמכות</w:t>
      </w:r>
      <w:r w:rsidRPr="00643EF4">
        <w:rPr>
          <w:rtl/>
        </w:rPr>
        <w:t xml:space="preserve">. </w:t>
      </w:r>
      <w:r w:rsidRPr="00643EF4">
        <w:rPr>
          <w:rFonts w:ascii="Century" w:hAnsi="Century" w:hint="cs"/>
          <w:sz w:val="22"/>
          <w:rtl/>
        </w:rPr>
        <w:t>עם זאת, כפי שציין היועץ המשפטי לממשלה, להסדרים חלופיים אלה מספר מאפיינים אשר בגינם יהיה צורך לתת את הדעת לסוגיות מסוימות אשר יחייבו החרגות מגבולות ההסדר. לכך יש להוסיף כי הניסיון שנצבר לגבי הסדרים חלופיים אלה הוא מצומצם בשל כך שהשימוש שנעשה בהם עד כה היה במקרים חריגים בלבד. עובדה זו משליכה, בין היתר, על העלויות ביישומם ועל מידת האפקטיביות שלהם.</w:t>
      </w:r>
      <w:r w:rsidRPr="00643EF4">
        <w:rPr>
          <w:rFonts w:hint="cs"/>
          <w:rtl/>
        </w:rPr>
        <w:t xml:space="preserve"> נוכח ההיקף החלקי והמוגבל של ההסדרים החלופיים שהוצעו, וחרף העובדה שהחוק אינו כולל בחינה פרטנית של המקרים שעליהם הוא חל, איני סבורה כי יש מקום להורות על בטלות החוק בשל קיומו של אמצעי חלופי שפגיעתו פחותה. ואולם, קיומם של אמצעים חלופיים אף שהיקפם חלקי, יש לו משמעות לצורך מבחן המשנה השלישי הנוגע למידתיות במובן הצר, אשר ייבחן להלן (</w:t>
      </w:r>
      <w:r w:rsidRPr="00643EF4">
        <w:rPr>
          <w:rFonts w:ascii="Century" w:hAnsi="Century" w:hint="cs"/>
          <w:rtl/>
        </w:rPr>
        <w:t xml:space="preserve">עניין </w:t>
      </w:r>
      <w:r w:rsidRPr="00643EF4">
        <w:rPr>
          <w:rFonts w:ascii="Century" w:hAnsi="Century" w:cs="Miriam" w:hint="cs"/>
          <w:b/>
          <w:spacing w:val="0"/>
          <w:szCs w:val="24"/>
          <w:rtl/>
        </w:rPr>
        <w:t>בית סוריק</w:t>
      </w:r>
      <w:r w:rsidRPr="00643EF4">
        <w:rPr>
          <w:rFonts w:ascii="Century" w:hAnsi="Century" w:hint="cs"/>
          <w:rtl/>
        </w:rPr>
        <w:t xml:space="preserve">, בעמ' 852-851; </w:t>
      </w:r>
      <w:r w:rsidRPr="00643EF4">
        <w:rPr>
          <w:rFonts w:hint="cs"/>
          <w:rtl/>
        </w:rPr>
        <w:t xml:space="preserve">עניין </w:t>
      </w:r>
      <w:r w:rsidRPr="00643EF4">
        <w:rPr>
          <w:rFonts w:ascii="Century" w:hAnsi="Century" w:cs="Miriam" w:hint="cs"/>
          <w:b/>
          <w:spacing w:val="0"/>
          <w:szCs w:val="24"/>
          <w:rtl/>
        </w:rPr>
        <w:t>איתן</w:t>
      </w:r>
      <w:r w:rsidRPr="00643EF4">
        <w:rPr>
          <w:rFonts w:ascii="Century" w:hAnsi="Century" w:hint="cs"/>
          <w:rtl/>
        </w:rPr>
        <w:t xml:space="preserve">, פסקה 66 לחוות הדעת של השופט </w:t>
      </w:r>
      <w:r w:rsidRPr="00643EF4">
        <w:rPr>
          <w:rFonts w:ascii="Century" w:hAnsi="Century" w:cs="Miriam" w:hint="cs"/>
          <w:b/>
          <w:spacing w:val="0"/>
          <w:sz w:val="22"/>
          <w:szCs w:val="24"/>
          <w:rtl/>
        </w:rPr>
        <w:t>ע' פוגלמן</w:t>
      </w:r>
      <w:r w:rsidRPr="00643EF4">
        <w:rPr>
          <w:rFonts w:ascii="Century" w:hAnsi="Century" w:hint="cs"/>
          <w:rtl/>
        </w:rPr>
        <w:t xml:space="preserve">; בג"ץ 10202/06 </w:t>
      </w:r>
      <w:r w:rsidRPr="00643EF4">
        <w:rPr>
          <w:rFonts w:ascii="Century" w:hAnsi="Century" w:cs="Miriam" w:hint="cs"/>
          <w:b/>
          <w:spacing w:val="0"/>
          <w:szCs w:val="24"/>
          <w:rtl/>
        </w:rPr>
        <w:t>עיריית דאהריה נ' המפקד הצבאי בגדה המערבית</w:t>
      </w:r>
      <w:r w:rsidRPr="00643EF4">
        <w:rPr>
          <w:rFonts w:ascii="Century" w:hAnsi="Century" w:hint="cs"/>
          <w:rtl/>
        </w:rPr>
        <w:t>, פסקה 21 (12.11.2012)</w:t>
      </w:r>
      <w:r w:rsidR="00F24D9F" w:rsidRPr="00643EF4">
        <w:rPr>
          <w:rFonts w:ascii="Century" w:hAnsi="Century" w:hint="cs"/>
          <w:rtl/>
        </w:rPr>
        <w:t xml:space="preserve">; עניין </w:t>
      </w:r>
      <w:r w:rsidR="00F24D9F" w:rsidRPr="00643EF4">
        <w:rPr>
          <w:rFonts w:ascii="Century" w:hAnsi="Century" w:cs="Miriam" w:hint="cs"/>
          <w:b/>
          <w:spacing w:val="0"/>
          <w:sz w:val="22"/>
          <w:szCs w:val="24"/>
          <w:rtl/>
        </w:rPr>
        <w:t>הפיקדון</w:t>
      </w:r>
      <w:r w:rsidR="00F24D9F" w:rsidRPr="00643EF4">
        <w:rPr>
          <w:rFonts w:ascii="Century" w:hAnsi="Century" w:hint="cs"/>
          <w:rtl/>
        </w:rPr>
        <w:t>, פסקה 40 לחוות דעתי</w:t>
      </w:r>
      <w:r w:rsidRPr="00643EF4">
        <w:rPr>
          <w:rFonts w:ascii="Century" w:hAnsi="Century" w:hint="cs"/>
          <w:rtl/>
        </w:rPr>
        <w:t>).</w:t>
      </w:r>
      <w:r w:rsidRPr="00643EF4">
        <w:rPr>
          <w:rFonts w:hint="cs"/>
          <w:rtl/>
        </w:rPr>
        <w:t xml:space="preserve"> </w:t>
      </w:r>
    </w:p>
    <w:p w14:paraId="68587168" w14:textId="77777777" w:rsidR="000E5D20" w:rsidRPr="00643EF4" w:rsidRDefault="000E5D20" w:rsidP="000E5D20">
      <w:pPr>
        <w:pStyle w:val="Ruller41"/>
        <w:rPr>
          <w:rFonts w:ascii="Century" w:hAnsi="Century" w:cs="Miriam"/>
          <w:b/>
          <w:spacing w:val="0"/>
          <w:szCs w:val="24"/>
          <w:rtl/>
        </w:rPr>
      </w:pPr>
    </w:p>
    <w:p w14:paraId="24038534"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(ג) מבחן המידתיות ב"מובן הצר"</w:t>
      </w:r>
    </w:p>
    <w:p w14:paraId="3619D297" w14:textId="77777777" w:rsidR="000E5D20" w:rsidRPr="00643EF4" w:rsidRDefault="000E5D20" w:rsidP="000E5D20">
      <w:pPr>
        <w:pStyle w:val="Ruller4"/>
        <w:numPr>
          <w:ilvl w:val="0"/>
          <w:numId w:val="0"/>
        </w:numPr>
      </w:pPr>
    </w:p>
    <w:p w14:paraId="2A02D4F5" w14:textId="19E8C48A" w:rsidR="0081114E" w:rsidRPr="00643EF4" w:rsidRDefault="0081114E" w:rsidP="0081114E">
      <w:pPr>
        <w:pStyle w:val="Ruller4"/>
        <w:rPr>
          <w:rFonts w:ascii="Century" w:hAnsi="Century"/>
          <w:sz w:val="22"/>
          <w:rtl/>
        </w:rPr>
      </w:pPr>
      <w:r w:rsidRPr="00643EF4">
        <w:rPr>
          <w:rFonts w:hint="cs"/>
          <w:rtl/>
        </w:rPr>
        <w:t xml:space="preserve">במסגרת מבחן המידתיות ב"מובן הצר" יש לבחון האם מתקיים יחס ראוי בין התועלת הצומחת מהשגת התכלית הראויה ובין הנזק שעלול להיגרם לזכויות החוקתיות שעל הפרק. כפי שכבר צוין, ככל שהזכות הנפגעת היא מהותית יותר והפגיעה בה חמורה יותר, כך תידרש תועלת רבה יותר וצורך ציבורי בעל חשיבות רבה יותר על מנת לצלוח את הבחינה החוקתית. ככל שיימצא כי הפחתה </w:t>
      </w:r>
      <w:r w:rsidRPr="00643EF4">
        <w:rPr>
          <w:rFonts w:ascii="Century" w:hAnsi="Century" w:cs="Miriam" w:hint="cs"/>
          <w:b/>
          <w:sz w:val="22"/>
          <w:szCs w:val="24"/>
          <w:rtl/>
        </w:rPr>
        <w:t>מסוימת</w:t>
      </w:r>
      <w:r w:rsidRPr="00643EF4">
        <w:rPr>
          <w:rFonts w:ascii="Century" w:hAnsi="Century" w:hint="cs"/>
          <w:sz w:val="22"/>
          <w:rtl/>
        </w:rPr>
        <w:t xml:space="preserve"> בתועלת המושגת מן החוק יש בה כדי להביא להפחתה </w:t>
      </w:r>
      <w:r w:rsidRPr="00643EF4">
        <w:rPr>
          <w:rFonts w:ascii="Century" w:hAnsi="Century" w:cs="Miriam" w:hint="eastAsia"/>
          <w:b/>
          <w:sz w:val="22"/>
          <w:szCs w:val="24"/>
          <w:rtl/>
        </w:rPr>
        <w:t>משמעותית</w:t>
      </w:r>
      <w:r w:rsidRPr="00643EF4">
        <w:rPr>
          <w:rFonts w:ascii="Century" w:hAnsi="Century" w:cs="Miriam"/>
          <w:b/>
          <w:sz w:val="22"/>
          <w:szCs w:val="24"/>
          <w:rtl/>
        </w:rPr>
        <w:t xml:space="preserve"> </w:t>
      </w:r>
      <w:r w:rsidRPr="00643EF4">
        <w:rPr>
          <w:rFonts w:ascii="Century" w:hAnsi="Century" w:hint="cs"/>
          <w:sz w:val="22"/>
          <w:rtl/>
        </w:rPr>
        <w:t xml:space="preserve">במידת הפגיעה בזכויות החוקתיות, המסקנה תהא כי האמצעי שננקט בחוק איננו מידתי ב"מובן הצר" (עניין </w:t>
      </w:r>
      <w:r w:rsidRPr="00643EF4">
        <w:rPr>
          <w:rFonts w:ascii="Century" w:hAnsi="Century" w:cs="Miriam" w:hint="cs"/>
          <w:b/>
          <w:sz w:val="22"/>
          <w:szCs w:val="24"/>
          <w:rtl/>
        </w:rPr>
        <w:t>בית סוריק</w:t>
      </w:r>
      <w:r w:rsidRPr="00643EF4">
        <w:rPr>
          <w:rFonts w:ascii="Century" w:hAnsi="Century" w:hint="cs"/>
          <w:sz w:val="22"/>
          <w:rtl/>
        </w:rPr>
        <w:t xml:space="preserve">, בעמ' 840). </w:t>
      </w:r>
    </w:p>
    <w:p w14:paraId="49B096F1" w14:textId="77777777" w:rsidR="0081114E" w:rsidRPr="00643EF4" w:rsidRDefault="0081114E" w:rsidP="0081114E">
      <w:pPr>
        <w:tabs>
          <w:tab w:val="left" w:pos="800"/>
          <w:tab w:val="num" w:pos="10307"/>
        </w:tabs>
        <w:spacing w:line="360" w:lineRule="auto"/>
        <w:jc w:val="both"/>
        <w:rPr>
          <w:rFonts w:ascii="Century" w:hAnsi="Century" w:cs="FrankRuehl"/>
          <w:spacing w:val="10"/>
          <w:sz w:val="22"/>
          <w:szCs w:val="28"/>
          <w:rtl/>
        </w:rPr>
      </w:pPr>
    </w:p>
    <w:p w14:paraId="169B7086" w14:textId="1AA1807D" w:rsidR="0081114E" w:rsidRPr="00643EF4" w:rsidRDefault="0081114E" w:rsidP="0081114E">
      <w:pPr>
        <w:pStyle w:val="Ruller4"/>
        <w:rPr>
          <w:rFonts w:ascii="Century" w:hAnsi="Century"/>
          <w:sz w:val="22"/>
          <w:rtl/>
        </w:rPr>
      </w:pPr>
      <w:r w:rsidRPr="00643EF4">
        <w:rPr>
          <w:rFonts w:hint="cs"/>
          <w:rtl/>
        </w:rPr>
        <w:t xml:space="preserve">כאמור לעיל, התכלית הראויה שאותה נועד חוק ההסדרה לקדם היא </w:t>
      </w:r>
      <w:r w:rsidRPr="00643EF4">
        <w:rPr>
          <w:rtl/>
        </w:rPr>
        <w:t>–</w:t>
      </w:r>
      <w:r w:rsidRPr="00643EF4">
        <w:rPr>
          <w:rFonts w:hint="cs"/>
          <w:rtl/>
        </w:rPr>
        <w:t xml:space="preserve">  מתן מענה למצוקתם של אותם מתיישבים אשר בנו בתיהם בתום לב תוך הסתמכות על מצגי הרשויות המוסמכות ואשר בדיעבד התברר כי בנו על מקרקעין פרטיים. התועלת בחוק היא יצירתו של מנגנון פשוט, נוח וקל להפעלה שיימנע "הצפה" של בתי המשפט בהליכים פרטניים שעניינם הסדרת הזכויות במקרקעין של המתיישבים הישראלים באזור, וכן יאפשר מתן מענה מהיר למצוקתם של המתיישבים וימנע פינוי יישובים. אל מול תועלת זו עומדת הפגיעה בזכויותיהם של תושבי האזור הפלסטינים </w:t>
      </w:r>
      <w:r w:rsidRPr="00643EF4">
        <w:rPr>
          <w:rtl/>
        </w:rPr>
        <w:t>–</w:t>
      </w:r>
      <w:r w:rsidRPr="00643EF4">
        <w:rPr>
          <w:rFonts w:hint="cs"/>
          <w:rtl/>
        </w:rPr>
        <w:t xml:space="preserve"> הזכות לקניין והזכות לשוויון </w:t>
      </w:r>
      <w:r w:rsidRPr="00643EF4">
        <w:rPr>
          <w:rtl/>
        </w:rPr>
        <w:t>–</w:t>
      </w:r>
      <w:r w:rsidRPr="00643EF4">
        <w:rPr>
          <w:rFonts w:hint="cs"/>
          <w:rtl/>
        </w:rPr>
        <w:t xml:space="preserve"> שהן זכויות חוקתיות בעלות עוצמה רבה בשיטתנו המשפטית. </w:t>
      </w:r>
      <w:r w:rsidRPr="00643EF4">
        <w:rPr>
          <w:rFonts w:ascii="Century" w:hAnsi="Century" w:hint="cs"/>
          <w:sz w:val="22"/>
          <w:rtl/>
        </w:rPr>
        <w:t xml:space="preserve">בבואנו להידרש למבחן המידתיות ב"מובן הצר" יש לבחון את מידת ועוצמת הפגיעה בזכויות אל מול התועלת שתצמח מכך תוך התייחסות בהקשר זה, כאמור, לאפשרות כי תועלת זו ניתנת להשגה באמצעים חלופיים, גם אם במידה פחותה.   </w:t>
      </w:r>
    </w:p>
    <w:p w14:paraId="64387767" w14:textId="77777777" w:rsidR="0081114E" w:rsidRPr="00643EF4" w:rsidRDefault="0081114E" w:rsidP="0081114E">
      <w:pPr>
        <w:tabs>
          <w:tab w:val="left" w:pos="800"/>
          <w:tab w:val="num" w:pos="10307"/>
        </w:tabs>
        <w:spacing w:line="360" w:lineRule="auto"/>
        <w:jc w:val="both"/>
        <w:rPr>
          <w:rFonts w:ascii="Century" w:hAnsi="Century" w:cs="FrankRuehl"/>
          <w:spacing w:val="10"/>
          <w:sz w:val="22"/>
          <w:szCs w:val="28"/>
          <w:rtl/>
        </w:rPr>
      </w:pPr>
    </w:p>
    <w:p w14:paraId="6549A97F" w14:textId="125BE666" w:rsidR="0081114E" w:rsidRPr="00643EF4" w:rsidRDefault="0081114E" w:rsidP="0081114E">
      <w:pPr>
        <w:pStyle w:val="Ruller4"/>
        <w:rPr>
          <w:rFonts w:ascii="Century" w:hAnsi="Century"/>
          <w:sz w:val="22"/>
          <w:rtl/>
        </w:rPr>
      </w:pPr>
      <w:r w:rsidRPr="00643EF4">
        <w:rPr>
          <w:rFonts w:hint="cs"/>
          <w:rtl/>
        </w:rPr>
        <w:t xml:space="preserve">על עוצמת הפגיעה בזכויות ניתן ללמוד מהשוואתו של ההסדר הקבוע בחוק ההסדרה להסדרים קרובים בדין הישראלי ובדין החל באזור שנראה כי מהם נשאבה השראה בחקיקת החוק. הסדרים אלו, שעניינם: תקנת השוק במקרקעין, בנייה ונטיעה במקרקעי הזולת ונטילה שלטונית של זכויות במקרקעין </w:t>
      </w:r>
      <w:r w:rsidRPr="00643EF4">
        <w:rPr>
          <w:rtl/>
        </w:rPr>
        <w:t>–</w:t>
      </w:r>
      <w:r w:rsidRPr="00643EF4">
        <w:rPr>
          <w:rFonts w:hint="cs"/>
          <w:rtl/>
        </w:rPr>
        <w:t xml:space="preserve"> מבוססים על עקרונות המוכרים בשיטה המשפטית הנוהגת בישראל, באזור ובשיטות משפט נוספות בעולם, והם מגלמים, ככלל, איזון בין הפגיעה בקניינו של אדם ובין אינטרסים ציבוריים הצריכים לעניין. ואולם, כפי שנראה להלן, חוק ההסדרה מבקש להיבנות מן ה"שורה התחתונה" באותם הסדרים, בלא שהוא מקיים את תנאי היסוד שבלעדיהם אין ההסדרים הללו עומדים על רגליהם. בתמצית ייאמר כי המשותף להסדרים אלו כולם הוא העובדה שהם </w:t>
      </w:r>
      <w:r w:rsidRPr="00643EF4">
        <w:rPr>
          <w:rFonts w:hint="cs"/>
          <w:sz w:val="28"/>
          <w:rtl/>
        </w:rPr>
        <w:t xml:space="preserve">כוללים בחינה פרטנית של כל מקרה ומקרה בתנאים מוגדרים, וכי אופן הפיצוי על פיהם משתנה ממקרה למקרה. בחינה כזו נעדרת לחלוטין מחוק ההסדרה, </w:t>
      </w:r>
      <w:r w:rsidRPr="00643EF4">
        <w:rPr>
          <w:rFonts w:ascii="Century" w:hAnsi="Century" w:hint="cs"/>
          <w:sz w:val="22"/>
          <w:rtl/>
        </w:rPr>
        <w:t>והדבר נושא משקל לעניין מידתיות הפגיעה הגלומה בחוק</w:t>
      </w:r>
      <w:r w:rsidRPr="00643EF4">
        <w:rPr>
          <w:rFonts w:hint="cs"/>
          <w:sz w:val="28"/>
          <w:rtl/>
        </w:rPr>
        <w:t xml:space="preserve">. </w:t>
      </w:r>
    </w:p>
    <w:p w14:paraId="55F8495F" w14:textId="77777777" w:rsidR="0081114E" w:rsidRPr="00643EF4" w:rsidRDefault="0081114E" w:rsidP="0081114E">
      <w:pPr>
        <w:tabs>
          <w:tab w:val="left" w:pos="800"/>
          <w:tab w:val="num" w:pos="10307"/>
        </w:tabs>
        <w:spacing w:line="360" w:lineRule="auto"/>
        <w:jc w:val="both"/>
        <w:rPr>
          <w:rFonts w:ascii="Century" w:hAnsi="Century" w:cs="FrankRuehl"/>
          <w:spacing w:val="10"/>
          <w:sz w:val="22"/>
          <w:szCs w:val="28"/>
          <w:rtl/>
        </w:rPr>
      </w:pPr>
    </w:p>
    <w:p w14:paraId="3123B25B" w14:textId="3A29DA9C" w:rsidR="0081114E" w:rsidRPr="00643EF4" w:rsidRDefault="0081114E" w:rsidP="001430EE">
      <w:pPr>
        <w:pStyle w:val="Ruller4"/>
        <w:rPr>
          <w:rFonts w:ascii="Century" w:hAnsi="Century"/>
          <w:sz w:val="22"/>
          <w:rtl/>
        </w:rPr>
      </w:pPr>
      <w:r w:rsidRPr="00643EF4">
        <w:rPr>
          <w:rFonts w:hint="cs"/>
          <w:rtl/>
        </w:rPr>
        <w:lastRenderedPageBreak/>
        <w:t xml:space="preserve">כך למשל, סעיף 10 לחוק המקרקעין, התשכ"ט-1969 (להלן: </w:t>
      </w:r>
      <w:r w:rsidRPr="00643EF4">
        <w:rPr>
          <w:rFonts w:cs="Miriam" w:hint="cs"/>
          <w:b/>
          <w:szCs w:val="24"/>
          <w:rtl/>
        </w:rPr>
        <w:t>חוק המקרקעין</w:t>
      </w:r>
      <w:r w:rsidRPr="00643EF4">
        <w:rPr>
          <w:rFonts w:hint="cs"/>
          <w:rtl/>
        </w:rPr>
        <w:t>) קובע כי "</w:t>
      </w:r>
      <w:r w:rsidRPr="00643EF4">
        <w:rPr>
          <w:rFonts w:ascii="Century" w:hAnsi="Century" w:hint="cs"/>
          <w:sz w:val="22"/>
          <w:rtl/>
        </w:rPr>
        <w:t xml:space="preserve">מי שרכש זכות במקרקעין </w:t>
      </w:r>
      <w:r w:rsidRPr="00643EF4">
        <w:rPr>
          <w:rFonts w:ascii="Century" w:hAnsi="Century" w:cs="Miriam" w:hint="cs"/>
          <w:b/>
          <w:sz w:val="22"/>
          <w:szCs w:val="24"/>
          <w:rtl/>
        </w:rPr>
        <w:t>מוסדרים</w:t>
      </w:r>
      <w:r w:rsidRPr="00643EF4">
        <w:rPr>
          <w:rFonts w:ascii="Century" w:hAnsi="Century" w:hint="cs"/>
          <w:sz w:val="22"/>
          <w:rtl/>
        </w:rPr>
        <w:t xml:space="preserve"> בתמורה ובהסתמך ב</w:t>
      </w:r>
      <w:r w:rsidRPr="00643EF4">
        <w:rPr>
          <w:rFonts w:ascii="Century" w:hAnsi="Century" w:cs="Miriam" w:hint="cs"/>
          <w:b/>
          <w:sz w:val="22"/>
          <w:szCs w:val="24"/>
          <w:rtl/>
        </w:rPr>
        <w:t>תום לב</w:t>
      </w:r>
      <w:r w:rsidRPr="00643EF4">
        <w:rPr>
          <w:rFonts w:ascii="Century" w:hAnsi="Century" w:hint="cs"/>
          <w:sz w:val="22"/>
          <w:rtl/>
        </w:rPr>
        <w:t xml:space="preserve"> על הרישום, יהא כוחה של זכותו יפה אף אם הרישום לא היה נכון</w:t>
      </w:r>
      <w:r w:rsidRPr="00643EF4">
        <w:rPr>
          <w:rFonts w:hint="cs"/>
          <w:rtl/>
        </w:rPr>
        <w:t xml:space="preserve">" (ההדגשות הוספו). מדובר בהסדר מסוג "תקנת שוק" ולפיו בהתקיים התנאים המפורטים בסעיף </w:t>
      </w:r>
      <w:r w:rsidRPr="00643EF4">
        <w:rPr>
          <w:rtl/>
        </w:rPr>
        <w:t>–</w:t>
      </w:r>
      <w:r w:rsidRPr="00643EF4">
        <w:rPr>
          <w:rFonts w:hint="cs"/>
          <w:rtl/>
        </w:rPr>
        <w:t xml:space="preserve"> מקרקעין מוסדרים, תשלום תמורה והסתמכות בתום לב על הרישום </w:t>
      </w:r>
      <w:r w:rsidRPr="00643EF4">
        <w:rPr>
          <w:rtl/>
        </w:rPr>
        <w:t>–</w:t>
      </w:r>
      <w:r w:rsidRPr="00643EF4">
        <w:rPr>
          <w:rFonts w:hint="cs"/>
          <w:rtl/>
        </w:rPr>
        <w:t xml:space="preserve"> תגבר זכותו של הרוכש למרות שהרישום לא היה נכון (</w:t>
      </w:r>
      <w:r w:rsidRPr="00643EF4">
        <w:rPr>
          <w:rFonts w:ascii="FrankRuehl" w:hAnsi="FrankRuehl" w:hint="cs"/>
          <w:color w:val="000000"/>
          <w:sz w:val="28"/>
          <w:rtl/>
        </w:rPr>
        <w:t xml:space="preserve">ראו </w:t>
      </w:r>
      <w:r w:rsidRPr="00643EF4">
        <w:rPr>
          <w:rFonts w:hint="cs"/>
          <w:rtl/>
        </w:rPr>
        <w:t>ע"א 7261/15 ‏</w:t>
      </w:r>
      <w:r w:rsidRPr="00643EF4">
        <w:rPr>
          <w:rFonts w:cs="Miriam" w:hint="cs"/>
          <w:b/>
          <w:szCs w:val="24"/>
          <w:rtl/>
        </w:rPr>
        <w:t xml:space="preserve"> מועדי נ' שוקחה</w:t>
      </w:r>
      <w:r w:rsidRPr="00643EF4">
        <w:rPr>
          <w:rFonts w:hint="cs"/>
          <w:rtl/>
        </w:rPr>
        <w:t xml:space="preserve">, פסקה 34 (5.9.2018); </w:t>
      </w:r>
      <w:r w:rsidRPr="00643EF4">
        <w:rPr>
          <w:rFonts w:ascii="FrankRuehl" w:hAnsi="FrankRuehl" w:hint="cs"/>
          <w:color w:val="000000"/>
          <w:sz w:val="28"/>
          <w:rtl/>
        </w:rPr>
        <w:t xml:space="preserve">ע"א 767/11 </w:t>
      </w:r>
      <w:r w:rsidRPr="00643EF4">
        <w:rPr>
          <w:rFonts w:cs="Miriam" w:hint="cs"/>
          <w:b/>
          <w:szCs w:val="24"/>
          <w:rtl/>
        </w:rPr>
        <w:t>להיגי נ' עזורי</w:t>
      </w:r>
      <w:r w:rsidRPr="00643EF4">
        <w:rPr>
          <w:rFonts w:ascii="FrankRuehl" w:hAnsi="FrankRuehl" w:hint="cs"/>
          <w:color w:val="000000"/>
          <w:sz w:val="28"/>
          <w:rtl/>
        </w:rPr>
        <w:t>, פסקה 14 (27.8.2013))</w:t>
      </w:r>
      <w:r w:rsidRPr="00643EF4">
        <w:rPr>
          <w:rFonts w:hint="cs"/>
          <w:rtl/>
        </w:rPr>
        <w:t xml:space="preserve">. </w:t>
      </w:r>
      <w:r w:rsidR="00861BAF" w:rsidRPr="00643EF4">
        <w:rPr>
          <w:rFonts w:ascii="Century" w:hAnsi="Century" w:hint="cs"/>
          <w:sz w:val="22"/>
          <w:rtl/>
        </w:rPr>
        <w:t>לצד זאת, ו</w:t>
      </w:r>
      <w:r w:rsidRPr="00643EF4">
        <w:rPr>
          <w:rFonts w:ascii="Century" w:hAnsi="Century" w:hint="cs"/>
          <w:sz w:val="22"/>
          <w:rtl/>
        </w:rPr>
        <w:t>כאמור לעיל, הדין החל באזור מכיר בהסדר המגן על תוקפה של עסקה שנערכה עם הממונה, בהתקיים התנאים הקבועים בסעיף 5 לצו בדבר רכוש ממשלתי</w:t>
      </w:r>
      <w:r w:rsidRPr="00643EF4">
        <w:rPr>
          <w:rFonts w:hint="cs"/>
          <w:rtl/>
        </w:rPr>
        <w:t xml:space="preserve">. </w:t>
      </w:r>
    </w:p>
    <w:p w14:paraId="417E15AA"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1D11F4F9"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הסדר נוסף הקרוב לענייננו קבוע בסעיף 21 לחוק המקרקעין ועניינו בנייה ונטיעה במקרקעי הזולת בלא היתר, שאז הברירה נתונה בידי בעל המקרקעין אם לקיים את המחוברים תמורת תשלום (כמפורט בסעיף 21(ב) לחוק המקרקעין) או לדרוש מן המקים את סילוקם (ראו סעיף 21(ג)-(ד) לאותו החוק). סעיף 23 לחוק המקרקעין קובע כי ביחס למקרקעין ש</w:t>
      </w:r>
      <w:r w:rsidRPr="00643EF4">
        <w:rPr>
          <w:rFonts w:ascii="Century" w:hAnsi="Century" w:cs="Miriam" w:hint="cs"/>
          <w:b/>
          <w:sz w:val="22"/>
          <w:rtl/>
        </w:rPr>
        <w:t xml:space="preserve">אינם מוסדרים, </w:t>
      </w:r>
      <w:r w:rsidRPr="00643EF4">
        <w:rPr>
          <w:rFonts w:ascii="Garamond" w:hAnsi="Garamond" w:cs="FrankRuehl" w:hint="cs"/>
          <w:spacing w:val="10"/>
          <w:sz w:val="24"/>
          <w:szCs w:val="28"/>
          <w:rtl/>
        </w:rPr>
        <w:t xml:space="preserve">זכאי </w:t>
      </w:r>
      <w:r w:rsidRPr="00643EF4">
        <w:rPr>
          <w:rFonts w:ascii="Century" w:hAnsi="Century" w:cs="Miriam" w:hint="cs"/>
          <w:b/>
          <w:sz w:val="22"/>
          <w:rtl/>
        </w:rPr>
        <w:t>המקים</w:t>
      </w:r>
      <w:r w:rsidRPr="00643EF4">
        <w:rPr>
          <w:rFonts w:ascii="Garamond" w:hAnsi="Garamond" w:cs="FrankRuehl" w:hint="cs"/>
          <w:spacing w:val="10"/>
          <w:sz w:val="24"/>
          <w:szCs w:val="28"/>
          <w:rtl/>
        </w:rPr>
        <w:t xml:space="preserve"> לרכוש את המקרקעין "במחיר שווים בלי המחוברים" אם התקיימו שלושה תנאים מצטברים: (1) המקים סבר ב</w:t>
      </w:r>
      <w:r w:rsidRPr="00643EF4">
        <w:rPr>
          <w:rFonts w:ascii="Garamond" w:hAnsi="Garamond" w:cs="Miriam" w:hint="cs"/>
          <w:b/>
          <w:sz w:val="24"/>
          <w:rtl/>
        </w:rPr>
        <w:t xml:space="preserve">תום לב </w:t>
      </w:r>
      <w:r w:rsidRPr="00643EF4">
        <w:rPr>
          <w:rFonts w:ascii="Garamond" w:hAnsi="Garamond" w:cs="FrankRuehl" w:hint="cs"/>
          <w:spacing w:val="10"/>
          <w:sz w:val="24"/>
          <w:szCs w:val="28"/>
          <w:rtl/>
        </w:rPr>
        <w:t xml:space="preserve">בשעת הקמת המחוברים כי הוא בעל המקרקעין; (2) </w:t>
      </w:r>
      <w:r w:rsidRPr="00643EF4">
        <w:rPr>
          <w:rFonts w:ascii="Century" w:hAnsi="Century" w:cs="FrankRuehl" w:hint="cs"/>
          <w:spacing w:val="10"/>
          <w:sz w:val="24"/>
          <w:szCs w:val="28"/>
          <w:rtl/>
        </w:rPr>
        <w:t>הסכום שהשקיע המקים במחוברים עלה, בשעת הקמתם, על שווים של המקרקעין בלי המחוברים באותה שעה</w:t>
      </w:r>
      <w:r w:rsidRPr="00643EF4">
        <w:rPr>
          <w:rFonts w:ascii="Garamond" w:hAnsi="Garamond" w:cs="FrankRuehl" w:hint="cs"/>
          <w:spacing w:val="10"/>
          <w:sz w:val="24"/>
          <w:szCs w:val="28"/>
          <w:rtl/>
        </w:rPr>
        <w:t xml:space="preserve">; (3) רכישת המקרקעין על ידי המקים אינה עלולה לגרום לבעל הזכויות המקורי </w:t>
      </w:r>
      <w:r w:rsidRPr="00643EF4">
        <w:rPr>
          <w:rFonts w:ascii="Garamond" w:hAnsi="Garamond" w:cs="Miriam" w:hint="cs"/>
          <w:b/>
          <w:sz w:val="24"/>
          <w:rtl/>
        </w:rPr>
        <w:t>נזק חמור שאין בתשלום שווים כדי לפצותו עליו</w:t>
      </w:r>
      <w:r w:rsidRPr="00643EF4">
        <w:rPr>
          <w:rFonts w:ascii="Garamond" w:hAnsi="Garamond" w:cs="FrankRuehl" w:hint="cs"/>
          <w:spacing w:val="10"/>
          <w:sz w:val="24"/>
          <w:szCs w:val="28"/>
          <w:rtl/>
        </w:rPr>
        <w:t xml:space="preserve"> (להרחבה ראו מיגל דויטש </w:t>
      </w:r>
      <w:r w:rsidRPr="00643EF4">
        <w:rPr>
          <w:rFonts w:ascii="Garamond" w:hAnsi="Garamond" w:cs="Miriam" w:hint="cs"/>
          <w:b/>
          <w:sz w:val="24"/>
          <w:rtl/>
        </w:rPr>
        <w:t>קניין</w:t>
      </w:r>
      <w:r w:rsidRPr="00643EF4">
        <w:rPr>
          <w:rFonts w:ascii="Garamond" w:hAnsi="Garamond" w:cs="FrankRuehl" w:hint="cs"/>
          <w:spacing w:val="10"/>
          <w:sz w:val="24"/>
          <w:szCs w:val="28"/>
          <w:rtl/>
        </w:rPr>
        <w:t xml:space="preserve"> א 446-443 (1997); </w:t>
      </w:r>
      <w:r w:rsidRPr="00643EF4">
        <w:rPr>
          <w:rFonts w:ascii="Century" w:hAnsi="Century" w:cs="Miriam" w:hint="cs"/>
          <w:b/>
          <w:sz w:val="22"/>
          <w:rtl/>
        </w:rPr>
        <w:t>ארנון</w:t>
      </w:r>
      <w:r w:rsidRPr="00643EF4">
        <w:rPr>
          <w:rFonts w:ascii="Century" w:hAnsi="Century" w:cs="FrankRuehl" w:hint="cs"/>
          <w:spacing w:val="10"/>
          <w:sz w:val="22"/>
          <w:szCs w:val="28"/>
          <w:rtl/>
        </w:rPr>
        <w:t xml:space="preserve">, </w:t>
      </w:r>
      <w:r w:rsidRPr="00643EF4">
        <w:rPr>
          <w:rFonts w:ascii="Garamond" w:hAnsi="Garamond" w:cs="FrankRuehl" w:hint="cs"/>
          <w:spacing w:val="10"/>
          <w:sz w:val="24"/>
          <w:szCs w:val="28"/>
          <w:rtl/>
        </w:rPr>
        <w:t xml:space="preserve">בעמ' </w:t>
      </w:r>
      <w:r w:rsidRPr="00643EF4">
        <w:rPr>
          <w:rFonts w:ascii="Century" w:hAnsi="Century" w:cs="FrankRuehl" w:hint="cs"/>
          <w:spacing w:val="10"/>
          <w:sz w:val="22"/>
          <w:szCs w:val="28"/>
          <w:rtl/>
        </w:rPr>
        <w:t>329</w:t>
      </w:r>
      <w:r w:rsidRPr="00643EF4">
        <w:rPr>
          <w:rFonts w:ascii="Garamond" w:hAnsi="Garamond" w:cs="FrankRuehl" w:hint="cs"/>
          <w:spacing w:val="10"/>
          <w:sz w:val="24"/>
          <w:szCs w:val="28"/>
          <w:rtl/>
        </w:rPr>
        <w:t xml:space="preserve">). דיני המקרקעין באזור מכירים אף הם בהסדרים הנוגעים לבנייה ולנטיעה במקרקעי הזולת והם מאפשרים למקים בקרקע מסוג מירי לרכוש את הזכויות במקרקעין אם פעל </w:t>
      </w:r>
      <w:r w:rsidRPr="00643EF4">
        <w:rPr>
          <w:rFonts w:ascii="Garamond" w:hAnsi="Garamond" w:cs="FrankRuehl" w:hint="cs"/>
          <w:spacing w:val="10"/>
          <w:sz w:val="22"/>
          <w:szCs w:val="28"/>
          <w:rtl/>
        </w:rPr>
        <w:t>ב</w:t>
      </w:r>
      <w:r w:rsidRPr="00643EF4">
        <w:rPr>
          <w:rFonts w:ascii="Garamond" w:hAnsi="Garamond" w:cs="Miriam" w:hint="cs"/>
          <w:b/>
          <w:sz w:val="22"/>
          <w:rtl/>
        </w:rPr>
        <w:t>תום לב</w:t>
      </w:r>
      <w:r w:rsidRPr="00643EF4">
        <w:rPr>
          <w:rFonts w:ascii="Garamond" w:hAnsi="Garamond" w:cs="FrankRuehl" w:hint="cs"/>
          <w:spacing w:val="10"/>
          <w:sz w:val="24"/>
          <w:szCs w:val="28"/>
          <w:rtl/>
        </w:rPr>
        <w:t xml:space="preserve"> וסבר כי ביצע את ההקמה במקרקעין שיש לו זכויות בהם (</w:t>
      </w:r>
      <w:r w:rsidRPr="00643EF4">
        <w:rPr>
          <w:rFonts w:ascii="Century" w:hAnsi="Century" w:cs="Miriam" w:hint="cs"/>
          <w:b/>
          <w:sz w:val="22"/>
          <w:rtl/>
        </w:rPr>
        <w:t>בנייה ונטיעה במקרקעי הזולת</w:t>
      </w:r>
      <w:r w:rsidRPr="00643EF4">
        <w:rPr>
          <w:rFonts w:ascii="Century" w:hAnsi="Century" w:cs="FrankRuehl" w:hint="cs"/>
          <w:spacing w:val="10"/>
          <w:sz w:val="22"/>
          <w:szCs w:val="28"/>
          <w:rtl/>
        </w:rPr>
        <w:t xml:space="preserve">, בעמ' 327-326; </w:t>
      </w:r>
      <w:r w:rsidRPr="00643EF4">
        <w:rPr>
          <w:rFonts w:ascii="Garamond" w:hAnsi="Garamond" w:cs="FrankRuehl" w:hint="cs"/>
          <w:spacing w:val="10"/>
          <w:sz w:val="24"/>
          <w:szCs w:val="28"/>
          <w:rtl/>
        </w:rPr>
        <w:t xml:space="preserve">והשוו גם להסדר המוצע בהצעת החוק לדיני ממונות ("הקודקס האזרחי"), שם מוצע להתמקד בשאלת </w:t>
      </w:r>
      <w:r w:rsidRPr="00643EF4">
        <w:rPr>
          <w:rFonts w:ascii="Century" w:hAnsi="Century" w:cs="Miriam" w:hint="cs"/>
          <w:b/>
          <w:sz w:val="22"/>
          <w:rtl/>
        </w:rPr>
        <w:t xml:space="preserve">תום הלב </w:t>
      </w:r>
      <w:r w:rsidRPr="00643EF4">
        <w:rPr>
          <w:rFonts w:ascii="Century" w:hAnsi="Century" w:cs="FrankRuehl" w:hint="cs"/>
          <w:spacing w:val="10"/>
          <w:sz w:val="22"/>
          <w:szCs w:val="28"/>
          <w:rtl/>
        </w:rPr>
        <w:t>של המקים. ראו סעיף 600(ג) להצעת חוק דיני ממונות, התשע"א-2011).</w:t>
      </w:r>
      <w:r w:rsidRPr="00643EF4">
        <w:rPr>
          <w:rFonts w:ascii="Arial TUR" w:hAnsi="Arial TUR" w:cs="FrankRuehl" w:hint="cs"/>
          <w:spacing w:val="10"/>
          <w:sz w:val="24"/>
          <w:szCs w:val="28"/>
          <w:rtl/>
        </w:rPr>
        <w:t xml:space="preserve"> </w:t>
      </w:r>
    </w:p>
    <w:p w14:paraId="54EFC29B"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p>
    <w:p w14:paraId="0D099F76" w14:textId="109CF1DB" w:rsidR="0081114E" w:rsidRPr="00643EF4" w:rsidRDefault="0081114E" w:rsidP="0081114E">
      <w:pPr>
        <w:tabs>
          <w:tab w:val="left" w:pos="800"/>
        </w:tabs>
        <w:spacing w:line="360" w:lineRule="auto"/>
        <w:jc w:val="both"/>
        <w:rPr>
          <w:rFonts w:ascii="Arial TUR" w:hAnsi="Arial TUR" w:cs="FrankRuehl"/>
          <w:spacing w:val="10"/>
          <w:sz w:val="24"/>
          <w:szCs w:val="28"/>
        </w:rPr>
      </w:pPr>
      <w:r w:rsidRPr="00643EF4">
        <w:rPr>
          <w:rFonts w:ascii="Garamond" w:hAnsi="Garamond" w:cs="FrankRuehl"/>
          <w:spacing w:val="10"/>
          <w:sz w:val="24"/>
          <w:szCs w:val="28"/>
          <w:rtl/>
        </w:rPr>
        <w:tab/>
      </w:r>
      <w:r w:rsidR="00B51F37" w:rsidRPr="00643EF4">
        <w:rPr>
          <w:rFonts w:ascii="Garamond" w:hAnsi="Garamond" w:cs="FrankRuehl" w:hint="cs"/>
          <w:spacing w:val="10"/>
          <w:sz w:val="24"/>
          <w:szCs w:val="28"/>
          <w:rtl/>
        </w:rPr>
        <w:t xml:space="preserve">כך גם, </w:t>
      </w:r>
      <w:r w:rsidRPr="00643EF4">
        <w:rPr>
          <w:rFonts w:ascii="Garamond" w:hAnsi="Garamond" w:cs="FrankRuehl" w:hint="cs"/>
          <w:spacing w:val="10"/>
          <w:sz w:val="24"/>
          <w:szCs w:val="28"/>
          <w:rtl/>
        </w:rPr>
        <w:t xml:space="preserve">כאמור לעיל, מתיר הדין הישראלי וכמוהו גם דיני האזור, בתנאים מסוימים, הפקעה של מקרקעין פרטיים לצורכי ציבור, ואולם ההוראות החלות בהקשר זה כוללות מנגנון המסדיר את הליך קבלת ההחלטה על הפקעת המקרקעין ואת החובה להפעיל שיקול דעת ולבחון אם המקרקעין מתאימים להגשמת המטרה הציבורית שלשמה הם מופקעים; הסדרים הנוגעים לפרסום על אודות ההפקעה; הסדרים להעלאת טענות בעניין עצם נטילת הזכויות; והסדרים הנוגעים לפיצוי ולדרכי ההשגה עליו (להרחבה ראו </w:t>
      </w:r>
      <w:r w:rsidRPr="00643EF4">
        <w:rPr>
          <w:rFonts w:ascii="Century" w:hAnsi="Century" w:cs="Miriam" w:hint="cs"/>
          <w:b/>
          <w:sz w:val="22"/>
          <w:rtl/>
        </w:rPr>
        <w:t>נמדר</w:t>
      </w:r>
      <w:r w:rsidRPr="00643EF4">
        <w:rPr>
          <w:rFonts w:ascii="Century" w:hAnsi="Century" w:cs="FrankRuehl" w:hint="cs"/>
          <w:spacing w:val="10"/>
          <w:sz w:val="22"/>
          <w:szCs w:val="28"/>
          <w:rtl/>
        </w:rPr>
        <w:t>, בעמ' 504-261</w:t>
      </w:r>
      <w:r w:rsidRPr="00643EF4">
        <w:rPr>
          <w:rFonts w:ascii="Garamond" w:hAnsi="Garamond" w:cs="FrankRuehl" w:hint="cs"/>
          <w:spacing w:val="10"/>
          <w:sz w:val="24"/>
          <w:szCs w:val="28"/>
          <w:rtl/>
        </w:rPr>
        <w:t xml:space="preserve">; </w:t>
      </w:r>
      <w:r w:rsidRPr="00643EF4">
        <w:rPr>
          <w:rFonts w:ascii="Century" w:hAnsi="Century" w:cs="Miriam" w:hint="cs"/>
          <w:b/>
          <w:sz w:val="22"/>
          <w:rtl/>
        </w:rPr>
        <w:t>קמר</w:t>
      </w:r>
      <w:r w:rsidRPr="00643EF4">
        <w:rPr>
          <w:rFonts w:ascii="Century" w:hAnsi="Century" w:cs="FrankRuehl" w:hint="cs"/>
          <w:spacing w:val="10"/>
          <w:sz w:val="22"/>
          <w:szCs w:val="28"/>
          <w:rtl/>
        </w:rPr>
        <w:t>, בעמ' 320-243</w:t>
      </w:r>
      <w:r w:rsidRPr="00643EF4">
        <w:rPr>
          <w:rFonts w:ascii="Garamond" w:hAnsi="Garamond" w:cs="FrankRuehl" w:hint="cs"/>
          <w:spacing w:val="10"/>
          <w:sz w:val="24"/>
          <w:szCs w:val="28"/>
          <w:rtl/>
        </w:rPr>
        <w:t xml:space="preserve">; </w:t>
      </w:r>
      <w:r w:rsidRPr="00643EF4">
        <w:rPr>
          <w:rFonts w:ascii="Century" w:hAnsi="Century" w:cs="Miriam" w:hint="cs"/>
          <w:b/>
          <w:sz w:val="22"/>
          <w:rtl/>
        </w:rPr>
        <w:t>איל זמיר</w:t>
      </w:r>
      <w:r w:rsidRPr="00643EF4">
        <w:rPr>
          <w:rFonts w:ascii="Garamond" w:hAnsi="Garamond" w:cs="FrankRuehl" w:hint="cs"/>
          <w:spacing w:val="10"/>
          <w:sz w:val="24"/>
          <w:szCs w:val="28"/>
          <w:rtl/>
        </w:rPr>
        <w:t xml:space="preserve">, בעמ' 36-35). </w:t>
      </w:r>
    </w:p>
    <w:p w14:paraId="45371B9A"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6E2AC373" w14:textId="75EFD992" w:rsidR="0081114E" w:rsidRPr="00643EF4" w:rsidRDefault="0081114E" w:rsidP="00603D41">
      <w:pPr>
        <w:pStyle w:val="Ruller4"/>
        <w:rPr>
          <w:rtl/>
        </w:rPr>
      </w:pPr>
      <w:r w:rsidRPr="00643EF4">
        <w:rPr>
          <w:rFonts w:hint="cs"/>
          <w:rtl/>
        </w:rPr>
        <w:lastRenderedPageBreak/>
        <w:t>כל אחד מן ההסדרים הללו שונה תכלית השינוי מן ההסדר הקבוע בחוק ההסדרה, שתחומי התפרסותו רחבים וגורפים והוא נועד לחול בכל מקרה שבו "מצאו רשויות האזור כי בתקופה שקדמה ליום פרסומו של חוק זה נבנתה ב</w:t>
      </w:r>
      <w:r w:rsidRPr="00643EF4">
        <w:rPr>
          <w:rFonts w:hint="eastAsia"/>
          <w:rtl/>
        </w:rPr>
        <w:t>תום</w:t>
      </w:r>
      <w:r w:rsidRPr="00643EF4">
        <w:rPr>
          <w:rtl/>
        </w:rPr>
        <w:t xml:space="preserve"> </w:t>
      </w:r>
      <w:r w:rsidRPr="00643EF4">
        <w:rPr>
          <w:rFonts w:hint="eastAsia"/>
          <w:rtl/>
        </w:rPr>
        <w:t>לב</w:t>
      </w:r>
      <w:r w:rsidRPr="00643EF4">
        <w:rPr>
          <w:rFonts w:hint="cs"/>
          <w:rtl/>
        </w:rPr>
        <w:t xml:space="preserve"> </w:t>
      </w:r>
      <w:r w:rsidRPr="00643EF4">
        <w:rPr>
          <w:rFonts w:ascii="Century" w:hAnsi="Century" w:cs="Miriam" w:hint="cs"/>
          <w:b/>
          <w:sz w:val="22"/>
          <w:szCs w:val="24"/>
          <w:rtl/>
        </w:rPr>
        <w:t xml:space="preserve">התיישבות </w:t>
      </w:r>
      <w:r w:rsidRPr="00643EF4">
        <w:rPr>
          <w:rFonts w:hint="cs"/>
          <w:rtl/>
        </w:rPr>
        <w:t xml:space="preserve">במקרקעין הטעונים הסדרה או ניתנה </w:t>
      </w:r>
      <w:r w:rsidRPr="00643EF4">
        <w:rPr>
          <w:rFonts w:hint="eastAsia"/>
          <w:rtl/>
        </w:rPr>
        <w:t>הסכמת</w:t>
      </w:r>
      <w:r w:rsidRPr="00643EF4">
        <w:rPr>
          <w:rtl/>
        </w:rPr>
        <w:t xml:space="preserve"> </w:t>
      </w:r>
      <w:r w:rsidRPr="00643EF4">
        <w:rPr>
          <w:rFonts w:hint="eastAsia"/>
          <w:rtl/>
        </w:rPr>
        <w:t>המדינה</w:t>
      </w:r>
      <w:r w:rsidRPr="00643EF4">
        <w:rPr>
          <w:rFonts w:hint="cs"/>
          <w:rtl/>
        </w:rPr>
        <w:t xml:space="preserve"> לבנייתה" (הדגשה הוספה). בהתקיים האמור, ניתן ל"כל המקרקעין שעליהם נבנתה אותה התיישבות ערב יום פרסומו של חוק זה"</w:t>
      </w:r>
      <w:r w:rsidR="00B51F37" w:rsidRPr="00643EF4">
        <w:rPr>
          <w:rFonts w:hint="cs"/>
          <w:rtl/>
        </w:rPr>
        <w:t>,</w:t>
      </w:r>
      <w:r w:rsidRPr="00643EF4">
        <w:rPr>
          <w:rFonts w:hint="cs"/>
          <w:rtl/>
        </w:rPr>
        <w:t xml:space="preserve"> כרטיס כניסה למתווה ההסדרה. הוראות חוק ההסדרה מתאפיינות, אם כן, בהתייחסות </w:t>
      </w:r>
      <w:r w:rsidRPr="00643EF4">
        <w:rPr>
          <w:rFonts w:ascii="Century" w:hAnsi="Century" w:cs="Miriam" w:hint="cs"/>
          <w:b/>
          <w:spacing w:val="0"/>
          <w:sz w:val="22"/>
          <w:szCs w:val="24"/>
          <w:rtl/>
        </w:rPr>
        <w:t>קולקטיבית</w:t>
      </w:r>
      <w:r w:rsidRPr="00643EF4">
        <w:rPr>
          <w:rFonts w:hint="cs"/>
          <w:rtl/>
        </w:rPr>
        <w:t xml:space="preserve"> אל ההתיישבות כולה, וזאת להבדיל מן ההתייחסות האינדיווידואלית ומן המנגנון לבחינה פרטנית הקבועים בהוראות הדין הישראלי ובדיני האזור שנסקרו לעיל. הוראות </w:t>
      </w:r>
      <w:r w:rsidR="00B51F37" w:rsidRPr="00643EF4">
        <w:rPr>
          <w:rFonts w:hint="cs"/>
          <w:rtl/>
        </w:rPr>
        <w:t>חוק ההסדרה</w:t>
      </w:r>
      <w:r w:rsidRPr="00643EF4">
        <w:rPr>
          <w:rFonts w:hint="cs"/>
          <w:rtl/>
        </w:rPr>
        <w:t xml:space="preserve"> אינן מבחינות בין הפרטים המרכיבים את ההתיישבות; מידת השקעתם בבנייה (לרבות השאלה אם שילמו דמי חכירה לגורם המיישב, וראו בהקשר זה את האמור ב</w:t>
      </w:r>
      <w:r w:rsidRPr="00643EF4">
        <w:rPr>
          <w:rFonts w:ascii="Century" w:hAnsi="Century" w:cs="Miriam" w:hint="cs"/>
          <w:b/>
          <w:sz w:val="22"/>
          <w:szCs w:val="24"/>
          <w:rtl/>
        </w:rPr>
        <w:t>דו"ח שנתי 63ב</w:t>
      </w:r>
      <w:r w:rsidRPr="00643EF4">
        <w:rPr>
          <w:rFonts w:hint="cs"/>
          <w:rtl/>
        </w:rPr>
        <w:t>, בעמ' 169-165)</w:t>
      </w:r>
      <w:r w:rsidR="00AA0D7E" w:rsidRPr="00643EF4">
        <w:rPr>
          <w:rFonts w:hint="cs"/>
          <w:rtl/>
        </w:rPr>
        <w:t>;</w:t>
      </w:r>
      <w:r w:rsidRPr="00643EF4">
        <w:rPr>
          <w:rFonts w:hint="cs"/>
          <w:rtl/>
        </w:rPr>
        <w:t xml:space="preserve"> מידת הסתמכותם על מצגי הרשויות המוסמכות; המועדים השונים שבהם בוצעה הבנייה בהתיישבות; מידת אי החוקיות הגלומה בבנייה; היקפה, מיקומה ומידת נחיצותה של הבנייה לקיום אורחות החיים ביישוב; וכיוצא באלה שיקולים הצריכים לעניין. לכך יש להוסיף שאין זה ברור כלל כיצד ניתן יהיה לבחון "תום לב" של ההתיישבות כגוף קולקטיבי להבדיל מבחינה פרטנית הנוגעת לתום ליבו של היחיד. עוד יצוין בהקשר זה  כי לוחות הזמנים הקצרים עד מאוד הקבועים בחוק לנטילת הזכויות (ראו סעיף 4 לחוק) וכן הדרישה להשלמת הליכי הקצאת הזכויות מחדש לטובת ההתיישבות שנבנתה על המקרקעין בתוך 60 ימים נוספים (ראו סעיף 5 לחוק), יקשו עד מאוד על עריכת בחינה פרטנית בכל מקרה ומקרה, ועלולים לשלול אותה כליל מבחינה מעשית. </w:t>
      </w:r>
      <w:r w:rsidR="004E2F3A" w:rsidRPr="00643EF4">
        <w:rPr>
          <w:rFonts w:hint="cs"/>
          <w:rtl/>
        </w:rPr>
        <w:t xml:space="preserve">זאת ועוד, חוק ההסדרה מחיל עצמו באופן גורף וללא הבחנה על כל סוגי השימושים במקרקעין: מגורים, מבני ציבור ושימושים אחרים והוא אינו קובע מנגנון המאפשר עריכת איזון בין שימושים אלה, או איזה מהם, ובין הזכויות הנפגעות על פי טיבן ועל פי היקף הפגיעה. החוק אינו </w:t>
      </w:r>
      <w:r w:rsidR="004E2F3A" w:rsidRPr="00643EF4">
        <w:rPr>
          <w:rFonts w:hint="cs"/>
          <w:sz w:val="22"/>
          <w:rtl/>
        </w:rPr>
        <w:t xml:space="preserve">כולל כל התייחסות לשאלת המשך נטילת הזכויות במצבים של שינוי או זניחת השימוש הנעשה במקרקעין, וכן </w:t>
      </w:r>
      <w:r w:rsidR="004E2F3A" w:rsidRPr="00643EF4">
        <w:rPr>
          <w:rFonts w:hint="cs"/>
          <w:rtl/>
        </w:rPr>
        <w:t xml:space="preserve">אין בחוק כל הבחנה בין מקרקעין מוסדרים למקרקעין שאינם מוסדרים. כמו כן, נפקד מחוק ההסדרה מקומם של תנאים מכוננים נוספים הקבועים </w:t>
      </w:r>
      <w:r w:rsidR="00603D41" w:rsidRPr="00643EF4">
        <w:rPr>
          <w:rFonts w:hint="cs"/>
          <w:rtl/>
        </w:rPr>
        <w:t>בדין הישראלי ובדין האזור, תנאים ש</w:t>
      </w:r>
      <w:r w:rsidR="004E2F3A" w:rsidRPr="00643EF4">
        <w:rPr>
          <w:rFonts w:hint="cs"/>
          <w:rtl/>
        </w:rPr>
        <w:t xml:space="preserve">בהעדרם אין </w:t>
      </w:r>
      <w:r w:rsidR="00603D41" w:rsidRPr="00643EF4">
        <w:rPr>
          <w:rFonts w:hint="cs"/>
          <w:rtl/>
        </w:rPr>
        <w:t>להסדרים אלה הצדקה</w:t>
      </w:r>
      <w:r w:rsidR="004E2F3A" w:rsidRPr="00643EF4">
        <w:rPr>
          <w:rFonts w:hint="cs"/>
          <w:rtl/>
        </w:rPr>
        <w:t xml:space="preserve">. </w:t>
      </w:r>
      <w:r w:rsidR="00603D41" w:rsidRPr="00643EF4">
        <w:rPr>
          <w:rFonts w:hint="cs"/>
          <w:rtl/>
        </w:rPr>
        <w:t xml:space="preserve">כך </w:t>
      </w:r>
      <w:r w:rsidR="004E2F3A" w:rsidRPr="00643EF4">
        <w:rPr>
          <w:rFonts w:hint="cs"/>
          <w:rtl/>
        </w:rPr>
        <w:t xml:space="preserve">לדוגמה </w:t>
      </w:r>
      <w:r w:rsidR="004E2F3A" w:rsidRPr="00643EF4">
        <w:rPr>
          <w:rtl/>
        </w:rPr>
        <w:t>–</w:t>
      </w:r>
      <w:r w:rsidR="004E2F3A" w:rsidRPr="00643EF4">
        <w:rPr>
          <w:rFonts w:hint="cs"/>
          <w:rtl/>
        </w:rPr>
        <w:t xml:space="preserve"> דרישות התמורה, השלמת הרישום והדרישה להיות המקרקעין מוסדרים, המנויות בסעיף 10 לחוק המקרקעין והמקובלות גם בתקנות שוק אחרות ברחבי העולם, הן דרישות יסודיות, המחייבות בחינה פרטנית של נסיבות כל מקרה ומקרה ובלעדיהן אין לומר כי המקרה נמנה עם אותם מקרים חריגים שבהם תוקנה לאדם זכות אף שנפל פגם בהקנייתה.</w:t>
      </w:r>
    </w:p>
    <w:p w14:paraId="7999112E"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p>
    <w:p w14:paraId="0034FC0A" w14:textId="07B95201" w:rsidR="0081114E" w:rsidRPr="00643EF4" w:rsidRDefault="0081114E" w:rsidP="004E2F3A">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החוק אף מוסיף וקובע הוראות כוללניות בכל הנוגע ליחס שבין </w:t>
      </w:r>
      <w:r w:rsidRPr="00643EF4">
        <w:rPr>
          <w:rFonts w:ascii="Garamond" w:hAnsi="Garamond" w:cs="FrankRuehl" w:hint="eastAsia"/>
          <w:spacing w:val="10"/>
          <w:sz w:val="24"/>
          <w:szCs w:val="28"/>
          <w:rtl/>
        </w:rPr>
        <w:t>סכום</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ההשקעה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בבנייה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לעומת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שווי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המקרקעין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לפני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ביצועה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ולפיהן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נבחן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הסכום</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שהושקע</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בבניית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ההתיישבות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בשעת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הבנייה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לעומת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שוויים</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של</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המקרקעין</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בלי</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ההתיישבות</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t>באותה</w:t>
      </w:r>
      <w:r w:rsidRPr="00643EF4">
        <w:rPr>
          <w:rFonts w:ascii="Garamond" w:hAnsi="Garamond" w:cs="FrankRuehl"/>
          <w:spacing w:val="10"/>
          <w:sz w:val="24"/>
          <w:szCs w:val="28"/>
          <w:rtl/>
        </w:rPr>
        <w:t xml:space="preserve"> </w:t>
      </w:r>
      <w:r w:rsidRPr="00643EF4">
        <w:rPr>
          <w:rFonts w:ascii="Garamond" w:hAnsi="Garamond" w:cs="FrankRuehl" w:hint="eastAsia"/>
          <w:spacing w:val="10"/>
          <w:sz w:val="24"/>
          <w:szCs w:val="28"/>
          <w:rtl/>
        </w:rPr>
        <w:lastRenderedPageBreak/>
        <w:t>שעה</w:t>
      </w:r>
      <w:r w:rsidRPr="00643EF4">
        <w:rPr>
          <w:rFonts w:ascii="Garamond" w:hAnsi="Garamond" w:cs="FrankRuehl"/>
          <w:spacing w:val="10"/>
          <w:sz w:val="24"/>
          <w:szCs w:val="28"/>
          <w:rtl/>
        </w:rPr>
        <w:t>"</w:t>
      </w:r>
      <w:r w:rsidRPr="00643EF4">
        <w:rPr>
          <w:rFonts w:ascii="Garamond" w:hAnsi="Garamond" w:cs="FrankRuehl" w:hint="cs"/>
          <w:spacing w:val="10"/>
          <w:sz w:val="24"/>
          <w:szCs w:val="28"/>
          <w:rtl/>
        </w:rPr>
        <w:t xml:space="preserve"> (סעיף 3(2)(א) לחוק)</w:t>
      </w:r>
      <w:r w:rsidR="00B90EC1" w:rsidRPr="00643EF4">
        <w:rPr>
          <w:rFonts w:ascii="Garamond" w:hAnsi="Garamond" w:cs="FrankRuehl" w:hint="cs"/>
          <w:spacing w:val="10"/>
          <w:sz w:val="24"/>
          <w:szCs w:val="28"/>
          <w:rtl/>
        </w:rPr>
        <w:t>,</w:t>
      </w:r>
      <w:r w:rsidRPr="00643EF4">
        <w:rPr>
          <w:rFonts w:ascii="Garamond" w:hAnsi="Garamond" w:cs="FrankRuehl" w:hint="cs"/>
          <w:spacing w:val="10"/>
          <w:sz w:val="24"/>
          <w:szCs w:val="28"/>
          <w:rtl/>
        </w:rPr>
        <w:t xml:space="preserve"> והוא אינו כולל מנגנון לבחינה </w:t>
      </w:r>
      <w:r w:rsidRPr="00643EF4">
        <w:rPr>
          <w:rFonts w:ascii="Garamond" w:hAnsi="Garamond" w:cs="Miriam" w:hint="cs"/>
          <w:b/>
          <w:sz w:val="22"/>
          <w:rtl/>
        </w:rPr>
        <w:t>פרטנית</w:t>
      </w:r>
      <w:r w:rsidRPr="00643EF4">
        <w:rPr>
          <w:rFonts w:ascii="Garamond" w:hAnsi="Garamond" w:cs="FrankRuehl" w:hint="cs"/>
          <w:spacing w:val="10"/>
          <w:sz w:val="24"/>
          <w:szCs w:val="28"/>
          <w:rtl/>
        </w:rPr>
        <w:t xml:space="preserve"> של הנזק שייגרם לבעל המקרקעין המקורי כתוצאה משלילת זכויות הקניין שלו, בחינת השאלה האם בעל הזכות המקורי "יישן על זכויותיו" ומה הסיבה לכך, וכן האם יש בפיצוי כספי כדי לרפא את נזקו. </w:t>
      </w:r>
    </w:p>
    <w:p w14:paraId="0BB5B585"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55017766" w14:textId="4C425EFC" w:rsidR="0081114E" w:rsidRPr="00643EF4" w:rsidRDefault="0081114E" w:rsidP="0081114E">
      <w:pPr>
        <w:pStyle w:val="Ruller4"/>
        <w:rPr>
          <w:rFonts w:ascii="Century" w:hAnsi="Century"/>
          <w:rtl/>
        </w:rPr>
      </w:pPr>
      <w:r w:rsidRPr="00643EF4">
        <w:rPr>
          <w:rFonts w:hint="cs"/>
          <w:rtl/>
        </w:rPr>
        <w:t xml:space="preserve">חוק ההסדרה אף מאפשר לרשויות האזור לבצע הפקעה דה-פקטו של זכויות השימוש והחזקה במקרקעין הפרטיים שעליהם הוקמה הבנייה הבלתי חוקית וזאת בלא שנקבעו בחוק הסדרים מתאימים הנוגעים לפרסום או לדרכי השגה ושימוע. </w:t>
      </w:r>
      <w:r w:rsidRPr="00643EF4">
        <w:rPr>
          <w:rFonts w:ascii="Century" w:hAnsi="Century" w:hint="eastAsia"/>
          <w:rtl/>
        </w:rPr>
        <w:t>אין</w:t>
      </w:r>
      <w:r w:rsidRPr="00643EF4">
        <w:rPr>
          <w:rFonts w:ascii="Century" w:hAnsi="Century"/>
          <w:rtl/>
        </w:rPr>
        <w:t xml:space="preserve"> </w:t>
      </w:r>
      <w:r w:rsidRPr="00643EF4">
        <w:rPr>
          <w:rFonts w:ascii="Century" w:hAnsi="Century" w:hint="eastAsia"/>
          <w:rtl/>
        </w:rPr>
        <w:t>מדובר</w:t>
      </w:r>
      <w:r w:rsidRPr="00643EF4">
        <w:rPr>
          <w:rFonts w:ascii="Century" w:hAnsi="Century"/>
          <w:rtl/>
        </w:rPr>
        <w:t xml:space="preserve"> </w:t>
      </w:r>
      <w:r w:rsidRPr="00643EF4">
        <w:rPr>
          <w:rFonts w:ascii="Century" w:hAnsi="Century" w:hint="eastAsia"/>
          <w:rtl/>
        </w:rPr>
        <w:t>אך</w:t>
      </w:r>
      <w:r w:rsidRPr="00643EF4">
        <w:rPr>
          <w:rFonts w:ascii="Century" w:hAnsi="Century"/>
          <w:rtl/>
        </w:rPr>
        <w:t xml:space="preserve"> </w:t>
      </w:r>
      <w:r w:rsidRPr="00643EF4">
        <w:rPr>
          <w:rFonts w:ascii="Century" w:hAnsi="Century" w:hint="eastAsia"/>
          <w:rtl/>
        </w:rPr>
        <w:t>בקושי</w:t>
      </w:r>
      <w:r w:rsidRPr="00643EF4">
        <w:rPr>
          <w:rFonts w:ascii="Century" w:hAnsi="Century"/>
          <w:rtl/>
        </w:rPr>
        <w:t xml:space="preserve"> </w:t>
      </w:r>
      <w:r w:rsidRPr="00643EF4">
        <w:rPr>
          <w:rFonts w:ascii="Century" w:hAnsi="Century" w:hint="eastAsia"/>
          <w:rtl/>
        </w:rPr>
        <w:t>פרוצדוראלי</w:t>
      </w:r>
      <w:r w:rsidRPr="00643EF4">
        <w:rPr>
          <w:rFonts w:ascii="Century" w:hAnsi="Century"/>
          <w:rtl/>
        </w:rPr>
        <w:t xml:space="preserve">, </w:t>
      </w:r>
      <w:r w:rsidRPr="00643EF4">
        <w:rPr>
          <w:rFonts w:ascii="Century" w:hAnsi="Century" w:hint="eastAsia"/>
          <w:rtl/>
        </w:rPr>
        <w:t>אלא</w:t>
      </w:r>
      <w:r w:rsidRPr="00643EF4">
        <w:rPr>
          <w:rFonts w:ascii="Century" w:hAnsi="Century"/>
          <w:rtl/>
        </w:rPr>
        <w:t xml:space="preserve"> </w:t>
      </w:r>
      <w:r w:rsidRPr="00643EF4">
        <w:rPr>
          <w:rFonts w:ascii="Century" w:hAnsi="Century" w:hint="eastAsia"/>
          <w:rtl/>
        </w:rPr>
        <w:t>במכשלה</w:t>
      </w:r>
      <w:r w:rsidRPr="00643EF4">
        <w:rPr>
          <w:rFonts w:ascii="Century" w:hAnsi="Century"/>
          <w:rtl/>
        </w:rPr>
        <w:t xml:space="preserve"> </w:t>
      </w:r>
      <w:r w:rsidRPr="00643EF4">
        <w:rPr>
          <w:rFonts w:ascii="Century" w:hAnsi="Century" w:hint="eastAsia"/>
          <w:rtl/>
        </w:rPr>
        <w:t>מהותית</w:t>
      </w:r>
      <w:r w:rsidRPr="00643EF4">
        <w:rPr>
          <w:rFonts w:ascii="Century" w:hAnsi="Century"/>
          <w:rtl/>
        </w:rPr>
        <w:t xml:space="preserve"> </w:t>
      </w:r>
      <w:r w:rsidRPr="00643EF4">
        <w:rPr>
          <w:rFonts w:ascii="Century" w:hAnsi="Century" w:hint="eastAsia"/>
          <w:rtl/>
        </w:rPr>
        <w:t>היורדת</w:t>
      </w:r>
      <w:r w:rsidRPr="00643EF4">
        <w:rPr>
          <w:rFonts w:ascii="Century" w:hAnsi="Century"/>
          <w:rtl/>
        </w:rPr>
        <w:t xml:space="preserve"> </w:t>
      </w:r>
      <w:r w:rsidRPr="00643EF4">
        <w:rPr>
          <w:rFonts w:ascii="Century" w:hAnsi="Century" w:hint="eastAsia"/>
          <w:rtl/>
        </w:rPr>
        <w:t>לשורשו</w:t>
      </w:r>
      <w:r w:rsidRPr="00643EF4">
        <w:rPr>
          <w:rFonts w:ascii="Century" w:hAnsi="Century"/>
          <w:rtl/>
        </w:rPr>
        <w:t xml:space="preserve"> </w:t>
      </w:r>
      <w:r w:rsidRPr="00643EF4">
        <w:rPr>
          <w:rFonts w:ascii="Century" w:hAnsi="Century" w:hint="eastAsia"/>
          <w:rtl/>
        </w:rPr>
        <w:t>של</w:t>
      </w:r>
      <w:r w:rsidRPr="00643EF4">
        <w:rPr>
          <w:rFonts w:ascii="Century" w:hAnsi="Century"/>
          <w:rtl/>
        </w:rPr>
        <w:t xml:space="preserve"> </w:t>
      </w:r>
      <w:r w:rsidRPr="00643EF4">
        <w:rPr>
          <w:rFonts w:ascii="Century" w:hAnsi="Century" w:hint="eastAsia"/>
          <w:rtl/>
        </w:rPr>
        <w:t>מבחן</w:t>
      </w:r>
      <w:r w:rsidRPr="00643EF4">
        <w:rPr>
          <w:rFonts w:ascii="Century" w:hAnsi="Century"/>
          <w:rtl/>
        </w:rPr>
        <w:t xml:space="preserve"> </w:t>
      </w:r>
      <w:r w:rsidRPr="00643EF4">
        <w:rPr>
          <w:rFonts w:ascii="Century" w:hAnsi="Century" w:hint="eastAsia"/>
          <w:rtl/>
        </w:rPr>
        <w:t>המידתיות</w:t>
      </w:r>
      <w:r w:rsidRPr="00643EF4">
        <w:rPr>
          <w:rFonts w:ascii="Century" w:hAnsi="Century"/>
          <w:rtl/>
        </w:rPr>
        <w:t xml:space="preserve"> </w:t>
      </w:r>
      <w:r w:rsidRPr="00643EF4">
        <w:rPr>
          <w:rFonts w:ascii="Century" w:hAnsi="Century" w:hint="eastAsia"/>
          <w:rtl/>
        </w:rPr>
        <w:t>ב</w:t>
      </w:r>
      <w:r w:rsidRPr="00643EF4">
        <w:rPr>
          <w:rFonts w:ascii="Century" w:hAnsi="Century"/>
          <w:rtl/>
        </w:rPr>
        <w:t>"</w:t>
      </w:r>
      <w:r w:rsidRPr="00643EF4">
        <w:rPr>
          <w:rFonts w:ascii="Century" w:hAnsi="Century" w:hint="eastAsia"/>
          <w:rtl/>
        </w:rPr>
        <w:t>מובן</w:t>
      </w:r>
      <w:r w:rsidRPr="00643EF4">
        <w:rPr>
          <w:rFonts w:ascii="Century" w:hAnsi="Century"/>
          <w:rtl/>
        </w:rPr>
        <w:t xml:space="preserve"> </w:t>
      </w:r>
      <w:r w:rsidRPr="00643EF4">
        <w:rPr>
          <w:rFonts w:ascii="Century" w:hAnsi="Century" w:hint="eastAsia"/>
          <w:rtl/>
        </w:rPr>
        <w:t>הצר</w:t>
      </w:r>
      <w:r w:rsidRPr="00643EF4">
        <w:rPr>
          <w:rFonts w:ascii="Century" w:hAnsi="Century"/>
          <w:rtl/>
        </w:rPr>
        <w:t xml:space="preserve">". </w:t>
      </w:r>
      <w:r w:rsidRPr="00643EF4">
        <w:rPr>
          <w:rFonts w:hint="cs"/>
          <w:rtl/>
        </w:rPr>
        <w:t xml:space="preserve">כך, החוק קובע הקניית זכויות </w:t>
      </w:r>
      <w:r w:rsidRPr="00643EF4">
        <w:rPr>
          <w:rFonts w:cs="Miriam" w:hint="cs"/>
          <w:b/>
          <w:sz w:val="22"/>
          <w:szCs w:val="24"/>
          <w:rtl/>
        </w:rPr>
        <w:t>אוט</w:t>
      </w:r>
      <w:r w:rsidRPr="00643EF4">
        <w:rPr>
          <w:rFonts w:cs="Miriam" w:hint="cs"/>
          <w:b/>
          <w:szCs w:val="24"/>
          <w:rtl/>
        </w:rPr>
        <w:t>ו</w:t>
      </w:r>
      <w:r w:rsidRPr="00643EF4">
        <w:rPr>
          <w:rFonts w:cs="Miriam" w:hint="cs"/>
          <w:b/>
          <w:sz w:val="22"/>
          <w:szCs w:val="24"/>
          <w:rtl/>
        </w:rPr>
        <w:t>מטית</w:t>
      </w:r>
      <w:r w:rsidRPr="00643EF4">
        <w:rPr>
          <w:rFonts w:hint="cs"/>
          <w:rtl/>
        </w:rPr>
        <w:t xml:space="preserve">, והיוזמה לנקוט הליכים בכל הנוגע להקניה ותוצאותיה מוטלת על </w:t>
      </w:r>
      <w:r w:rsidRPr="00643EF4">
        <w:rPr>
          <w:rFonts w:ascii="Century" w:hAnsi="Century" w:cs="Miriam" w:hint="cs"/>
          <w:b/>
          <w:sz w:val="22"/>
          <w:szCs w:val="24"/>
          <w:rtl/>
        </w:rPr>
        <w:t>בעל הזכויות המקורי</w:t>
      </w:r>
      <w:r w:rsidRPr="00643EF4">
        <w:rPr>
          <w:rFonts w:hint="cs"/>
          <w:rtl/>
        </w:rPr>
        <w:t xml:space="preserve">. </w:t>
      </w:r>
      <w:r w:rsidRPr="00643EF4">
        <w:rPr>
          <w:rFonts w:ascii="Century" w:hAnsi="Century" w:hint="cs"/>
          <w:rtl/>
        </w:rPr>
        <w:t xml:space="preserve">החוק אינו כולל מנגנון להעלאת טענות כנגד עצם נטילת הזכויות, </w:t>
      </w:r>
      <w:r w:rsidRPr="00643EF4">
        <w:rPr>
          <w:rFonts w:hint="cs"/>
          <w:rtl/>
        </w:rPr>
        <w:t>והוא אף אינו קובע מנגנון חריגים המוציא מקרים מסוימים מתחולת החוק, דבר שהיה עשוי לצמצם את הפגיעה בזכויות במקרים המתאימים מבלי לפגוע בהגשמת תכליתו</w:t>
      </w:r>
      <w:r w:rsidRPr="00643EF4">
        <w:rPr>
          <w:rFonts w:ascii="Century" w:hAnsi="Century" w:hint="cs"/>
          <w:sz w:val="22"/>
          <w:rtl/>
        </w:rPr>
        <w:t>.</w:t>
      </w:r>
      <w:r w:rsidRPr="00643EF4">
        <w:rPr>
          <w:rFonts w:hint="cs"/>
          <w:rtl/>
        </w:rPr>
        <w:t xml:space="preserve"> </w:t>
      </w:r>
      <w:r w:rsidRPr="00643EF4">
        <w:rPr>
          <w:rFonts w:ascii="Century" w:hAnsi="Century" w:hint="cs"/>
          <w:rtl/>
        </w:rPr>
        <w:t xml:space="preserve">בהקשר זה יש להדגיש כי </w:t>
      </w:r>
      <w:r w:rsidRPr="00643EF4">
        <w:rPr>
          <w:rFonts w:ascii="Century" w:hAnsi="Century" w:hint="eastAsia"/>
          <w:rtl/>
        </w:rPr>
        <w:t>מתן</w:t>
      </w:r>
      <w:r w:rsidRPr="00643EF4">
        <w:rPr>
          <w:rFonts w:ascii="Century" w:hAnsi="Century"/>
          <w:rtl/>
        </w:rPr>
        <w:t xml:space="preserve"> </w:t>
      </w:r>
      <w:r w:rsidRPr="00643EF4">
        <w:rPr>
          <w:rFonts w:ascii="Century" w:hAnsi="Century" w:hint="eastAsia"/>
          <w:rtl/>
        </w:rPr>
        <w:t>אפשרות</w:t>
      </w:r>
      <w:r w:rsidRPr="00643EF4">
        <w:rPr>
          <w:rFonts w:ascii="Century" w:hAnsi="Century"/>
          <w:rtl/>
        </w:rPr>
        <w:t xml:space="preserve"> </w:t>
      </w:r>
      <w:r w:rsidRPr="00643EF4">
        <w:rPr>
          <w:rFonts w:ascii="Century" w:hAnsi="Century" w:hint="eastAsia"/>
          <w:rtl/>
        </w:rPr>
        <w:t>לבעל</w:t>
      </w:r>
      <w:r w:rsidRPr="00643EF4">
        <w:rPr>
          <w:rFonts w:ascii="Century" w:hAnsi="Century"/>
          <w:rtl/>
        </w:rPr>
        <w:t xml:space="preserve"> </w:t>
      </w:r>
      <w:r w:rsidRPr="00643EF4">
        <w:rPr>
          <w:rFonts w:ascii="Century" w:hAnsi="Century" w:hint="eastAsia"/>
          <w:rtl/>
        </w:rPr>
        <w:t>הזכויות</w:t>
      </w:r>
      <w:r w:rsidRPr="00643EF4">
        <w:rPr>
          <w:rFonts w:ascii="Century" w:hAnsi="Century"/>
          <w:rtl/>
        </w:rPr>
        <w:t xml:space="preserve"> </w:t>
      </w:r>
      <w:r w:rsidRPr="00643EF4">
        <w:rPr>
          <w:rFonts w:ascii="Century" w:hAnsi="Century" w:hint="eastAsia"/>
          <w:rtl/>
        </w:rPr>
        <w:t>לשטוח</w:t>
      </w:r>
      <w:r w:rsidRPr="00643EF4">
        <w:rPr>
          <w:rFonts w:ascii="Century" w:hAnsi="Century"/>
          <w:rtl/>
        </w:rPr>
        <w:t xml:space="preserve"> </w:t>
      </w:r>
      <w:r w:rsidRPr="00643EF4">
        <w:rPr>
          <w:rFonts w:ascii="Century" w:hAnsi="Century" w:hint="eastAsia"/>
          <w:rtl/>
        </w:rPr>
        <w:t>את</w:t>
      </w:r>
      <w:r w:rsidRPr="00643EF4">
        <w:rPr>
          <w:rFonts w:ascii="Century" w:hAnsi="Century"/>
          <w:rtl/>
        </w:rPr>
        <w:t xml:space="preserve"> </w:t>
      </w:r>
      <w:r w:rsidRPr="00643EF4">
        <w:rPr>
          <w:rFonts w:ascii="Century" w:hAnsi="Century" w:hint="eastAsia"/>
          <w:rtl/>
        </w:rPr>
        <w:t>טענותיו</w:t>
      </w:r>
      <w:r w:rsidRPr="00643EF4">
        <w:rPr>
          <w:rFonts w:ascii="Century" w:hAnsi="Century"/>
          <w:rtl/>
        </w:rPr>
        <w:t xml:space="preserve"> </w:t>
      </w:r>
      <w:r w:rsidRPr="00643EF4">
        <w:rPr>
          <w:rFonts w:ascii="Century" w:hAnsi="Century" w:hint="eastAsia"/>
          <w:rtl/>
        </w:rPr>
        <w:t>באופן</w:t>
      </w:r>
      <w:r w:rsidRPr="00643EF4">
        <w:rPr>
          <w:rFonts w:ascii="Century" w:hAnsi="Century"/>
          <w:rtl/>
        </w:rPr>
        <w:t xml:space="preserve"> </w:t>
      </w:r>
      <w:r w:rsidRPr="00643EF4">
        <w:rPr>
          <w:rFonts w:ascii="Century" w:hAnsi="Century" w:hint="eastAsia"/>
          <w:rtl/>
        </w:rPr>
        <w:t>ראוי</w:t>
      </w:r>
      <w:r w:rsidRPr="00643EF4">
        <w:rPr>
          <w:rFonts w:ascii="Century" w:hAnsi="Century"/>
          <w:rtl/>
        </w:rPr>
        <w:t xml:space="preserve">, </w:t>
      </w:r>
      <w:r w:rsidRPr="00643EF4">
        <w:rPr>
          <w:rFonts w:ascii="Century" w:hAnsi="Century" w:hint="eastAsia"/>
          <w:rtl/>
        </w:rPr>
        <w:t>תוך</w:t>
      </w:r>
      <w:r w:rsidRPr="00643EF4">
        <w:rPr>
          <w:rFonts w:ascii="Century" w:hAnsi="Century"/>
          <w:rtl/>
        </w:rPr>
        <w:t xml:space="preserve"> </w:t>
      </w:r>
      <w:r w:rsidRPr="00643EF4">
        <w:rPr>
          <w:rFonts w:ascii="Century" w:hAnsi="Century" w:hint="eastAsia"/>
          <w:rtl/>
        </w:rPr>
        <w:t>פרק</w:t>
      </w:r>
      <w:r w:rsidRPr="00643EF4">
        <w:rPr>
          <w:rFonts w:ascii="Century" w:hAnsi="Century"/>
          <w:rtl/>
        </w:rPr>
        <w:t xml:space="preserve"> </w:t>
      </w:r>
      <w:r w:rsidRPr="00643EF4">
        <w:rPr>
          <w:rFonts w:ascii="Century" w:hAnsi="Century" w:hint="eastAsia"/>
          <w:rtl/>
        </w:rPr>
        <w:t>זמן</w:t>
      </w:r>
      <w:r w:rsidRPr="00643EF4">
        <w:rPr>
          <w:rFonts w:ascii="Century" w:hAnsi="Century"/>
          <w:rtl/>
        </w:rPr>
        <w:t xml:space="preserve"> </w:t>
      </w:r>
      <w:r w:rsidRPr="00643EF4">
        <w:rPr>
          <w:rFonts w:ascii="Century" w:hAnsi="Century" w:hint="eastAsia"/>
          <w:rtl/>
        </w:rPr>
        <w:t>סביר</w:t>
      </w:r>
      <w:r w:rsidRPr="00643EF4">
        <w:rPr>
          <w:rFonts w:ascii="Century" w:hAnsi="Century"/>
          <w:rtl/>
        </w:rPr>
        <w:t xml:space="preserve">, </w:t>
      </w:r>
      <w:r w:rsidRPr="00643EF4">
        <w:rPr>
          <w:rFonts w:ascii="Century" w:hAnsi="Century" w:hint="eastAsia"/>
          <w:rtl/>
        </w:rPr>
        <w:t>מאפשר</w:t>
      </w:r>
      <w:r w:rsidRPr="00643EF4">
        <w:rPr>
          <w:rFonts w:ascii="Century" w:hAnsi="Century"/>
          <w:rtl/>
        </w:rPr>
        <w:t xml:space="preserve"> </w:t>
      </w:r>
      <w:r w:rsidRPr="00643EF4">
        <w:rPr>
          <w:rFonts w:ascii="Century" w:hAnsi="Century" w:hint="eastAsia"/>
          <w:rtl/>
        </w:rPr>
        <w:t>לרשות</w:t>
      </w:r>
      <w:r w:rsidRPr="00643EF4">
        <w:rPr>
          <w:rFonts w:ascii="Century" w:hAnsi="Century"/>
          <w:rtl/>
        </w:rPr>
        <w:t xml:space="preserve"> </w:t>
      </w:r>
      <w:r w:rsidRPr="00643EF4">
        <w:rPr>
          <w:rFonts w:ascii="Century" w:hAnsi="Century" w:hint="eastAsia"/>
          <w:rtl/>
        </w:rPr>
        <w:t>המינהלית</w:t>
      </w:r>
      <w:r w:rsidRPr="00643EF4">
        <w:rPr>
          <w:rFonts w:ascii="Century" w:hAnsi="Century"/>
          <w:rtl/>
        </w:rPr>
        <w:t xml:space="preserve"> </w:t>
      </w:r>
      <w:r w:rsidRPr="00643EF4">
        <w:rPr>
          <w:rFonts w:ascii="Century" w:hAnsi="Century" w:hint="eastAsia"/>
          <w:rtl/>
        </w:rPr>
        <w:t>לקבל</w:t>
      </w:r>
      <w:r w:rsidRPr="00643EF4">
        <w:rPr>
          <w:rFonts w:ascii="Century" w:hAnsi="Century"/>
          <w:rtl/>
        </w:rPr>
        <w:t xml:space="preserve"> </w:t>
      </w:r>
      <w:r w:rsidRPr="00643EF4">
        <w:rPr>
          <w:rFonts w:ascii="Century" w:hAnsi="Century" w:hint="eastAsia"/>
          <w:rtl/>
        </w:rPr>
        <w:t>את</w:t>
      </w:r>
      <w:r w:rsidRPr="00643EF4">
        <w:rPr>
          <w:rFonts w:ascii="Century" w:hAnsi="Century"/>
          <w:rtl/>
        </w:rPr>
        <w:t xml:space="preserve"> </w:t>
      </w:r>
      <w:r w:rsidRPr="00643EF4">
        <w:rPr>
          <w:rFonts w:ascii="Century" w:hAnsi="Century" w:hint="eastAsia"/>
          <w:rtl/>
        </w:rPr>
        <w:t>החלטתה</w:t>
      </w:r>
      <w:r w:rsidRPr="00643EF4">
        <w:rPr>
          <w:rFonts w:ascii="Century" w:hAnsi="Century"/>
          <w:rtl/>
        </w:rPr>
        <w:t xml:space="preserve"> </w:t>
      </w:r>
      <w:r w:rsidRPr="00643EF4">
        <w:rPr>
          <w:rFonts w:ascii="Century" w:hAnsi="Century" w:hint="eastAsia"/>
          <w:rtl/>
        </w:rPr>
        <w:t>על</w:t>
      </w:r>
      <w:r w:rsidRPr="00643EF4">
        <w:rPr>
          <w:rFonts w:ascii="Century" w:hAnsi="Century"/>
          <w:rtl/>
        </w:rPr>
        <w:t xml:space="preserve"> </w:t>
      </w:r>
      <w:r w:rsidRPr="00643EF4">
        <w:rPr>
          <w:rFonts w:ascii="Century" w:hAnsi="Century" w:hint="eastAsia"/>
          <w:rtl/>
        </w:rPr>
        <w:t>בסיס</w:t>
      </w:r>
      <w:r w:rsidRPr="00643EF4">
        <w:rPr>
          <w:rFonts w:ascii="Century" w:hAnsi="Century"/>
          <w:rtl/>
        </w:rPr>
        <w:t xml:space="preserve"> </w:t>
      </w:r>
      <w:r w:rsidRPr="00643EF4">
        <w:rPr>
          <w:rFonts w:ascii="Century" w:hAnsi="Century" w:hint="eastAsia"/>
          <w:rtl/>
        </w:rPr>
        <w:t>תשתית</w:t>
      </w:r>
      <w:r w:rsidRPr="00643EF4">
        <w:rPr>
          <w:rFonts w:ascii="Century" w:hAnsi="Century"/>
          <w:rtl/>
        </w:rPr>
        <w:t xml:space="preserve"> </w:t>
      </w:r>
      <w:r w:rsidRPr="00643EF4">
        <w:rPr>
          <w:rFonts w:ascii="Century" w:hAnsi="Century" w:hint="eastAsia"/>
          <w:rtl/>
        </w:rPr>
        <w:t>עובדתית</w:t>
      </w:r>
      <w:r w:rsidRPr="00643EF4">
        <w:rPr>
          <w:rFonts w:ascii="Century" w:hAnsi="Century"/>
          <w:rtl/>
        </w:rPr>
        <w:t xml:space="preserve"> </w:t>
      </w:r>
      <w:r w:rsidRPr="00643EF4">
        <w:rPr>
          <w:rFonts w:ascii="Century" w:hAnsi="Century" w:hint="eastAsia"/>
          <w:rtl/>
        </w:rPr>
        <w:t>נאותה</w:t>
      </w:r>
      <w:r w:rsidRPr="00643EF4">
        <w:rPr>
          <w:rFonts w:ascii="Century" w:hAnsi="Century"/>
          <w:rtl/>
        </w:rPr>
        <w:t xml:space="preserve"> </w:t>
      </w:r>
      <w:r w:rsidRPr="00643EF4">
        <w:rPr>
          <w:rFonts w:ascii="Century" w:hAnsi="Century" w:hint="eastAsia"/>
          <w:rtl/>
        </w:rPr>
        <w:t>ורלוונטית</w:t>
      </w:r>
      <w:r w:rsidRPr="00643EF4">
        <w:rPr>
          <w:rFonts w:ascii="Century" w:hAnsi="Century"/>
          <w:rtl/>
        </w:rPr>
        <w:t xml:space="preserve">, </w:t>
      </w:r>
      <w:r w:rsidRPr="00643EF4">
        <w:rPr>
          <w:rFonts w:ascii="Century" w:hAnsi="Century" w:hint="eastAsia"/>
          <w:rtl/>
        </w:rPr>
        <w:t>תוך</w:t>
      </w:r>
      <w:r w:rsidRPr="00643EF4">
        <w:rPr>
          <w:rFonts w:ascii="Century" w:hAnsi="Century"/>
          <w:rtl/>
        </w:rPr>
        <w:t xml:space="preserve"> </w:t>
      </w:r>
      <w:r w:rsidRPr="00643EF4">
        <w:rPr>
          <w:rFonts w:ascii="Century" w:hAnsi="Century" w:hint="eastAsia"/>
          <w:rtl/>
        </w:rPr>
        <w:t>התחשבות</w:t>
      </w:r>
      <w:r w:rsidRPr="00643EF4">
        <w:rPr>
          <w:rFonts w:ascii="Century" w:hAnsi="Century"/>
          <w:rtl/>
        </w:rPr>
        <w:t xml:space="preserve"> </w:t>
      </w:r>
      <w:r w:rsidRPr="00643EF4">
        <w:rPr>
          <w:rFonts w:ascii="Century" w:hAnsi="Century" w:hint="eastAsia"/>
          <w:rtl/>
        </w:rPr>
        <w:t>במכלול</w:t>
      </w:r>
      <w:r w:rsidRPr="00643EF4">
        <w:rPr>
          <w:rFonts w:ascii="Century" w:hAnsi="Century"/>
          <w:rtl/>
        </w:rPr>
        <w:t xml:space="preserve"> </w:t>
      </w:r>
      <w:r w:rsidRPr="00643EF4">
        <w:rPr>
          <w:rFonts w:ascii="Century" w:hAnsi="Century" w:hint="eastAsia"/>
          <w:rtl/>
        </w:rPr>
        <w:t>העובדות</w:t>
      </w:r>
      <w:r w:rsidRPr="00643EF4">
        <w:rPr>
          <w:rFonts w:ascii="Century" w:hAnsi="Century"/>
          <w:rtl/>
        </w:rPr>
        <w:t xml:space="preserve"> </w:t>
      </w:r>
      <w:r w:rsidRPr="00643EF4">
        <w:rPr>
          <w:rFonts w:ascii="Century" w:hAnsi="Century" w:hint="eastAsia"/>
          <w:rtl/>
        </w:rPr>
        <w:t>והשיקולים</w:t>
      </w:r>
      <w:r w:rsidRPr="00643EF4">
        <w:rPr>
          <w:rFonts w:ascii="Century" w:hAnsi="Century"/>
          <w:rtl/>
        </w:rPr>
        <w:t xml:space="preserve"> </w:t>
      </w:r>
      <w:r w:rsidRPr="00643EF4">
        <w:rPr>
          <w:rFonts w:ascii="Century" w:hAnsi="Century" w:hint="eastAsia"/>
          <w:rtl/>
        </w:rPr>
        <w:t>הצריכים</w:t>
      </w:r>
      <w:r w:rsidRPr="00643EF4">
        <w:rPr>
          <w:rFonts w:ascii="Century" w:hAnsi="Century"/>
          <w:rtl/>
        </w:rPr>
        <w:t xml:space="preserve"> </w:t>
      </w:r>
      <w:r w:rsidRPr="00643EF4">
        <w:rPr>
          <w:rFonts w:ascii="Century" w:hAnsi="Century" w:hint="eastAsia"/>
          <w:rtl/>
        </w:rPr>
        <w:t>לעניין</w:t>
      </w:r>
      <w:r w:rsidRPr="00643EF4">
        <w:rPr>
          <w:rFonts w:ascii="Century" w:hAnsi="Century"/>
          <w:rtl/>
        </w:rPr>
        <w:t xml:space="preserve"> (</w:t>
      </w:r>
      <w:r w:rsidRPr="00643EF4">
        <w:rPr>
          <w:rFonts w:ascii="Century" w:hAnsi="Century" w:hint="eastAsia"/>
          <w:rtl/>
        </w:rPr>
        <w:t>השוו</w:t>
      </w:r>
      <w:r w:rsidRPr="00643EF4">
        <w:rPr>
          <w:rFonts w:ascii="Century" w:hAnsi="Century"/>
          <w:rtl/>
        </w:rPr>
        <w:t xml:space="preserve"> </w:t>
      </w:r>
      <w:r w:rsidRPr="00643EF4">
        <w:rPr>
          <w:rFonts w:ascii="Century" w:hAnsi="Century" w:hint="eastAsia"/>
          <w:rtl/>
        </w:rPr>
        <w:t>לעניין</w:t>
      </w:r>
      <w:r w:rsidRPr="00643EF4">
        <w:rPr>
          <w:rFonts w:ascii="Century" w:hAnsi="Century"/>
          <w:rtl/>
        </w:rPr>
        <w:t xml:space="preserve"> </w:t>
      </w:r>
      <w:r w:rsidRPr="00643EF4">
        <w:rPr>
          <w:rFonts w:ascii="Century" w:hAnsi="Century" w:cs="Miriam" w:hint="eastAsia"/>
          <w:b/>
          <w:szCs w:val="24"/>
          <w:rtl/>
        </w:rPr>
        <w:t>זיאדה</w:t>
      </w:r>
      <w:r w:rsidRPr="00643EF4">
        <w:rPr>
          <w:rFonts w:ascii="Century" w:hAnsi="Century"/>
          <w:rtl/>
        </w:rPr>
        <w:t xml:space="preserve">, </w:t>
      </w:r>
      <w:r w:rsidRPr="00643EF4">
        <w:rPr>
          <w:rFonts w:ascii="Century" w:hAnsi="Century" w:hint="cs"/>
          <w:rtl/>
        </w:rPr>
        <w:t xml:space="preserve">פסקאות 46-45 לחוות הדעת של המשנה לנשיאה (בדימ') </w:t>
      </w:r>
      <w:r w:rsidRPr="00643EF4">
        <w:rPr>
          <w:rFonts w:ascii="Century" w:hAnsi="Century" w:cs="Miriam" w:hint="cs"/>
          <w:b/>
          <w:sz w:val="22"/>
          <w:szCs w:val="24"/>
          <w:rtl/>
        </w:rPr>
        <w:t>ס' ג'ובראן</w:t>
      </w:r>
      <w:r w:rsidRPr="00643EF4">
        <w:rPr>
          <w:rFonts w:ascii="Century" w:hAnsi="Century"/>
          <w:rtl/>
        </w:rPr>
        <w:t xml:space="preserve">). </w:t>
      </w:r>
      <w:r w:rsidRPr="00643EF4">
        <w:rPr>
          <w:rFonts w:ascii="Century" w:hAnsi="Century" w:hint="eastAsia"/>
          <w:sz w:val="22"/>
          <w:rtl/>
        </w:rPr>
        <w:t>החוק</w:t>
      </w:r>
      <w:r w:rsidRPr="00643EF4">
        <w:rPr>
          <w:rFonts w:ascii="Century" w:hAnsi="Century"/>
          <w:sz w:val="22"/>
          <w:rtl/>
        </w:rPr>
        <w:t xml:space="preserve"> </w:t>
      </w:r>
      <w:r w:rsidRPr="00643EF4">
        <w:rPr>
          <w:rFonts w:hint="cs"/>
          <w:rtl/>
        </w:rPr>
        <w:t xml:space="preserve">קובע אמנם בסעיף 3(2)(ב) כי נטילת הזכויות צריכה להיעשות "ככל האפשר" בהתאם לחוק הרכישה הירדני אשר מקנה, כאמור, למפקד הצבאי שיקול דעת לבחון את התקיימות התנאי בדבר צורך ציבורי. אך בהינתן הוראותיו הקטיגוריות של חוק ההסדרה נראה כי אלה שוללות למעשה מן המפקד הצבאי כל שיקול דעת בהקשר זה ועל כן נראה כי ההוראה הנ"ל בחוק ההסדרה היא לאמיתו של דבר ריקה מתוכן. </w:t>
      </w:r>
    </w:p>
    <w:p w14:paraId="344E623B"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3E1B485A" w14:textId="631E186A" w:rsidR="0081114E" w:rsidRPr="00643EF4" w:rsidRDefault="0081114E" w:rsidP="005D1A84">
      <w:pPr>
        <w:pStyle w:val="Ruller4"/>
        <w:rPr>
          <w:rtl/>
        </w:rPr>
      </w:pPr>
      <w:r w:rsidRPr="00643EF4">
        <w:rPr>
          <w:rFonts w:hint="cs"/>
          <w:rtl/>
        </w:rPr>
        <w:t>לבסוף, בהינתן העובדה כי ההפקעה דה-פקטו על פי חוק ההסדרה כרוכה ושלובה גם בהכשרה בדיעבד של בנייה בלתי חוקית בהיבט התכנוני, נוצר מצב לפיו ההסדר מכפיף את התכנון ומתאים אותו למצב הקיים בשטח, תוך כבילת שיקול הדעת של רשויות התכנון לבנייה שנעשתה בפועל. כך סעיף 6 לחוק קובע כי המדינה תפעל להשלמת הליכי התכנון במקרקעין שניטלו בהם הזכויות "מהר ככל האפשר", וכי הליכים אלה ייעשו, ככל האפשר "בשים לב לצורך בהסדרת הבנייה הקיימת". בכך סוטה חוק ההסדרה מן הכלל כי הליך של הפקעה יש לבצע לאחר סיום הליכי התכנון, וכי הקדמת ההפקעה לתכנון היא בבחינת חריג</w:t>
      </w:r>
      <w:r w:rsidRPr="00643EF4">
        <w:rPr>
          <w:rFonts w:hint="cs"/>
          <w:sz w:val="22"/>
          <w:rtl/>
        </w:rPr>
        <w:t xml:space="preserve"> (בג</w:t>
      </w:r>
      <w:r w:rsidRPr="00643EF4">
        <w:rPr>
          <w:rFonts w:hint="cs"/>
          <w:rtl/>
        </w:rPr>
        <w:t xml:space="preserve">"ץ 3028/94 </w:t>
      </w:r>
      <w:r w:rsidRPr="00643EF4">
        <w:rPr>
          <w:rFonts w:cs="Miriam" w:hint="cs"/>
          <w:b/>
          <w:sz w:val="22"/>
          <w:szCs w:val="24"/>
          <w:rtl/>
        </w:rPr>
        <w:t>מהדרין בע"מ נ' שר האוצר</w:t>
      </w:r>
      <w:r w:rsidRPr="00643EF4">
        <w:rPr>
          <w:rFonts w:hint="cs"/>
          <w:sz w:val="22"/>
          <w:rtl/>
        </w:rPr>
        <w:t>, פ"ד נא(3) 85, 97 (1995); השוו עוד ל</w:t>
      </w:r>
      <w:r w:rsidR="005D1A84" w:rsidRPr="00643EF4">
        <w:rPr>
          <w:rFonts w:hint="cs"/>
          <w:rtl/>
        </w:rPr>
        <w:t xml:space="preserve">ע"א 1528/05 </w:t>
      </w:r>
      <w:r w:rsidR="005D1A84" w:rsidRPr="00643EF4">
        <w:rPr>
          <w:rFonts w:cs="Miriam" w:hint="cs"/>
          <w:b/>
          <w:spacing w:val="0"/>
          <w:szCs w:val="24"/>
          <w:rtl/>
        </w:rPr>
        <w:t xml:space="preserve">רשות הנמלים והרכבות </w:t>
      </w:r>
      <w:r w:rsidR="005D1A84" w:rsidRPr="00643EF4">
        <w:rPr>
          <w:rFonts w:cs="Miriam"/>
          <w:b/>
          <w:spacing w:val="0"/>
          <w:szCs w:val="24"/>
          <w:rtl/>
        </w:rPr>
        <w:t>–</w:t>
      </w:r>
      <w:r w:rsidR="005D1A84" w:rsidRPr="00643EF4">
        <w:rPr>
          <w:rFonts w:cs="Miriam" w:hint="cs"/>
          <w:b/>
          <w:spacing w:val="0"/>
          <w:szCs w:val="24"/>
          <w:rtl/>
        </w:rPr>
        <w:t xml:space="preserve"> רכבת ישראל נ' אביגדורוב</w:t>
      </w:r>
      <w:r w:rsidRPr="00643EF4">
        <w:rPr>
          <w:rFonts w:hint="cs"/>
          <w:sz w:val="22"/>
          <w:rtl/>
        </w:rPr>
        <w:t xml:space="preserve">, פסקה 9 לחוות הדעת של השופטת </w:t>
      </w:r>
      <w:r w:rsidRPr="00643EF4">
        <w:rPr>
          <w:rFonts w:cs="Miriam" w:hint="cs"/>
          <w:b/>
          <w:sz w:val="22"/>
          <w:szCs w:val="24"/>
          <w:rtl/>
        </w:rPr>
        <w:t>ע' ארבל</w:t>
      </w:r>
      <w:r w:rsidR="005D1A84" w:rsidRPr="00643EF4">
        <w:rPr>
          <w:rFonts w:hint="cs"/>
          <w:sz w:val="22"/>
          <w:rtl/>
        </w:rPr>
        <w:t xml:space="preserve"> (2005)</w:t>
      </w:r>
      <w:r w:rsidRPr="00643EF4">
        <w:rPr>
          <w:rFonts w:hint="cs"/>
          <w:sz w:val="22"/>
          <w:rtl/>
        </w:rPr>
        <w:t xml:space="preserve">; עניין </w:t>
      </w:r>
      <w:r w:rsidRPr="00643EF4">
        <w:rPr>
          <w:rFonts w:cs="Miriam" w:hint="cs"/>
          <w:b/>
          <w:sz w:val="22"/>
          <w:szCs w:val="24"/>
          <w:rtl/>
        </w:rPr>
        <w:t>רוטמן</w:t>
      </w:r>
      <w:r w:rsidRPr="00643EF4">
        <w:rPr>
          <w:rFonts w:hint="cs"/>
          <w:sz w:val="22"/>
          <w:rtl/>
        </w:rPr>
        <w:t xml:space="preserve">, פסקה 27; ראו עוד </w:t>
      </w:r>
      <w:r w:rsidRPr="00643EF4">
        <w:rPr>
          <w:rFonts w:cs="Miriam" w:hint="cs"/>
          <w:b/>
          <w:sz w:val="22"/>
          <w:szCs w:val="24"/>
          <w:rtl/>
        </w:rPr>
        <w:t>נמדר</w:t>
      </w:r>
      <w:r w:rsidRPr="00643EF4">
        <w:rPr>
          <w:rFonts w:hint="cs"/>
          <w:sz w:val="22"/>
          <w:rtl/>
        </w:rPr>
        <w:t xml:space="preserve">, בעמ' 293-292). בהקשר זה לא למותר לציין כי </w:t>
      </w:r>
      <w:r w:rsidRPr="00643EF4">
        <w:rPr>
          <w:rFonts w:hint="cs"/>
          <w:rtl/>
        </w:rPr>
        <w:t xml:space="preserve">ההליך התכנוני עצמו כולל שלב שבו ניתנת לציבור אפשרות להישמע ואפשרות זו מספקת אף היא ערובה </w:t>
      </w:r>
      <w:r w:rsidRPr="00643EF4">
        <w:rPr>
          <w:rFonts w:hint="cs"/>
          <w:rtl/>
        </w:rPr>
        <w:lastRenderedPageBreak/>
        <w:t>מסוימת לכך שקודם להפקעה יתבצע בהגינות מינהלית הליך מידתי הבוחן את מכלול ההיבטים הרלוונטיים (</w:t>
      </w:r>
      <w:r w:rsidRPr="00643EF4">
        <w:rPr>
          <w:rFonts w:hint="cs"/>
          <w:sz w:val="22"/>
          <w:rtl/>
        </w:rPr>
        <w:t xml:space="preserve">ע"א 2962/97 </w:t>
      </w:r>
      <w:r w:rsidRPr="00643EF4">
        <w:rPr>
          <w:rFonts w:cs="Miriam" w:hint="cs"/>
          <w:b/>
          <w:sz w:val="22"/>
          <w:szCs w:val="24"/>
          <w:rtl/>
        </w:rPr>
        <w:t xml:space="preserve">ועד אמנים </w:t>
      </w:r>
      <w:r w:rsidRPr="00643EF4">
        <w:rPr>
          <w:rFonts w:cs="Miriam"/>
          <w:b/>
          <w:sz w:val="22"/>
          <w:szCs w:val="24"/>
          <w:rtl/>
        </w:rPr>
        <w:t>–</w:t>
      </w:r>
      <w:r w:rsidRPr="00643EF4">
        <w:rPr>
          <w:rFonts w:cs="Miriam" w:hint="cs"/>
          <w:b/>
          <w:sz w:val="22"/>
          <w:szCs w:val="24"/>
          <w:rtl/>
        </w:rPr>
        <w:t xml:space="preserve"> חוכרים ביפו העתיקה נ' הוועדה המקומית לתכנון ולבנייה תל-אביב</w:t>
      </w:r>
      <w:r w:rsidRPr="00643EF4">
        <w:rPr>
          <w:rFonts w:hint="cs"/>
          <w:sz w:val="22"/>
          <w:rtl/>
        </w:rPr>
        <w:t xml:space="preserve">, פ"ד נב(2) 362, 379 (1998); </w:t>
      </w:r>
      <w:r w:rsidRPr="00643EF4">
        <w:rPr>
          <w:rFonts w:hint="cs"/>
          <w:rtl/>
        </w:rPr>
        <w:t xml:space="preserve">בג"ץ 288/00 </w:t>
      </w:r>
      <w:r w:rsidRPr="00643EF4">
        <w:rPr>
          <w:rFonts w:cs="Miriam" w:hint="cs"/>
          <w:b/>
          <w:sz w:val="22"/>
          <w:szCs w:val="24"/>
          <w:rtl/>
        </w:rPr>
        <w:t xml:space="preserve">אדם טבע ודין </w:t>
      </w:r>
      <w:r w:rsidRPr="00643EF4">
        <w:rPr>
          <w:rFonts w:cs="Miriam"/>
          <w:b/>
          <w:sz w:val="22"/>
          <w:szCs w:val="24"/>
          <w:rtl/>
        </w:rPr>
        <w:t>–</w:t>
      </w:r>
      <w:r w:rsidRPr="00643EF4">
        <w:rPr>
          <w:rFonts w:cs="Miriam" w:hint="cs"/>
          <w:b/>
          <w:sz w:val="22"/>
          <w:szCs w:val="24"/>
          <w:rtl/>
        </w:rPr>
        <w:t xml:space="preserve"> אגודה ישראלית להגנת הסביבה נ' שר הפנים</w:t>
      </w:r>
      <w:r w:rsidRPr="00643EF4">
        <w:rPr>
          <w:rFonts w:hint="cs"/>
          <w:sz w:val="22"/>
          <w:rtl/>
        </w:rPr>
        <w:t>, פ"ד נה(5) 673, 692-691 (2001);</w:t>
      </w:r>
      <w:r w:rsidRPr="00643EF4">
        <w:rPr>
          <w:rFonts w:hint="cs"/>
          <w:rtl/>
        </w:rPr>
        <w:t xml:space="preserve"> בג"ץ 7737/14 </w:t>
      </w:r>
      <w:r w:rsidRPr="00643EF4">
        <w:rPr>
          <w:rFonts w:cs="Miriam" w:hint="cs"/>
          <w:b/>
          <w:sz w:val="22"/>
          <w:szCs w:val="24"/>
          <w:rtl/>
        </w:rPr>
        <w:t>עיריית יוקנעם נ' המועצה הארצית לתכנון ולבניה</w:t>
      </w:r>
      <w:r w:rsidRPr="00643EF4">
        <w:rPr>
          <w:rFonts w:hint="cs"/>
          <w:sz w:val="22"/>
          <w:rtl/>
        </w:rPr>
        <w:t xml:space="preserve">, פסקה </w:t>
      </w:r>
      <w:r w:rsidRPr="00643EF4">
        <w:rPr>
          <w:rFonts w:hint="cs"/>
          <w:rtl/>
        </w:rPr>
        <w:t>48 (22.12.2015)</w:t>
      </w:r>
      <w:r w:rsidRPr="00643EF4">
        <w:rPr>
          <w:rFonts w:hint="cs"/>
          <w:sz w:val="22"/>
          <w:rtl/>
        </w:rPr>
        <w:t xml:space="preserve">). </w:t>
      </w:r>
    </w:p>
    <w:p w14:paraId="37B37325" w14:textId="77777777" w:rsidR="0081114E" w:rsidRPr="00643EF4" w:rsidRDefault="0081114E" w:rsidP="0081114E">
      <w:pPr>
        <w:tabs>
          <w:tab w:val="left" w:pos="800"/>
          <w:tab w:val="num" w:pos="10307"/>
        </w:tabs>
        <w:spacing w:line="360" w:lineRule="auto"/>
        <w:jc w:val="both"/>
        <w:rPr>
          <w:rFonts w:ascii="Garamond" w:hAnsi="Garamond" w:cs="FrankRuehl"/>
          <w:spacing w:val="10"/>
          <w:sz w:val="24"/>
          <w:szCs w:val="28"/>
          <w:rtl/>
        </w:rPr>
      </w:pPr>
    </w:p>
    <w:p w14:paraId="7A553318" w14:textId="5AA14229" w:rsidR="0081114E" w:rsidRPr="00643EF4" w:rsidRDefault="0081114E" w:rsidP="006F2BD5">
      <w:pPr>
        <w:tabs>
          <w:tab w:val="left" w:pos="800"/>
          <w:tab w:val="num" w:pos="10307"/>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חוסרים אלה כולם מבליטים את היעדר המידתיות ב"מובן הצר" של ההסדר הגורף שנקבע בחוק (</w:t>
      </w:r>
      <w:r w:rsidRPr="00643EF4">
        <w:rPr>
          <w:rFonts w:ascii="Century" w:hAnsi="Century" w:cs="FrankRuehl" w:hint="cs"/>
          <w:spacing w:val="10"/>
          <w:sz w:val="22"/>
          <w:szCs w:val="28"/>
          <w:rtl/>
        </w:rPr>
        <w:t xml:space="preserve">השוו </w:t>
      </w:r>
      <w:r w:rsidRPr="00643EF4">
        <w:rPr>
          <w:rFonts w:ascii="Garamond" w:hAnsi="Garamond" w:cs="FrankRuehl" w:hint="cs"/>
          <w:spacing w:val="10"/>
          <w:sz w:val="24"/>
          <w:szCs w:val="28"/>
          <w:rtl/>
        </w:rPr>
        <w:t xml:space="preserve">בג"ץ 2355/98 </w:t>
      </w:r>
      <w:r w:rsidRPr="00643EF4">
        <w:rPr>
          <w:rFonts w:ascii="Century" w:hAnsi="Century" w:cs="Miriam" w:hint="cs"/>
          <w:b/>
          <w:sz w:val="24"/>
          <w:rtl/>
        </w:rPr>
        <w:t>סטמקה נ' שר הפנים</w:t>
      </w:r>
      <w:r w:rsidRPr="00643EF4">
        <w:rPr>
          <w:rFonts w:ascii="Century" w:hAnsi="Century" w:cs="FrankRuehl" w:hint="cs"/>
          <w:spacing w:val="10"/>
          <w:sz w:val="24"/>
          <w:szCs w:val="28"/>
          <w:rtl/>
        </w:rPr>
        <w:t>, פ"ד נג(2) 728, 794-793 (1999)</w:t>
      </w:r>
      <w:r w:rsidRPr="00643EF4">
        <w:rPr>
          <w:rFonts w:ascii="Century" w:hAnsi="Century" w:cs="FrankRuehl" w:hint="cs"/>
          <w:spacing w:val="10"/>
          <w:sz w:val="22"/>
          <w:szCs w:val="28"/>
          <w:rtl/>
        </w:rPr>
        <w:t>).</w:t>
      </w:r>
      <w:r w:rsidRPr="00643EF4">
        <w:rPr>
          <w:rFonts w:ascii="Garamond" w:hAnsi="Garamond" w:cs="FrankRuehl" w:hint="cs"/>
          <w:spacing w:val="10"/>
          <w:sz w:val="24"/>
          <w:szCs w:val="28"/>
          <w:rtl/>
        </w:rPr>
        <w:t xml:space="preserve"> אף אם כל אחד מן המנגנונים שצוינו היה בו כדי להפחית במידה מסוימת מן התועלת המושגת מן החוק, יישומם של העקרונות </w:t>
      </w:r>
      <w:r w:rsidR="00B90EC1" w:rsidRPr="00643EF4">
        <w:rPr>
          <w:rFonts w:ascii="Garamond" w:hAnsi="Garamond" w:cs="FrankRuehl" w:hint="cs"/>
          <w:spacing w:val="10"/>
          <w:sz w:val="24"/>
          <w:szCs w:val="28"/>
          <w:rtl/>
        </w:rPr>
        <w:t>ש</w:t>
      </w:r>
      <w:r w:rsidRPr="00643EF4">
        <w:rPr>
          <w:rFonts w:ascii="Garamond" w:hAnsi="Garamond" w:cs="FrankRuehl" w:hint="cs"/>
          <w:spacing w:val="10"/>
          <w:sz w:val="24"/>
          <w:szCs w:val="28"/>
          <w:rtl/>
        </w:rPr>
        <w:t xml:space="preserve">עליהם מבוססים מנגנונים אלה בחוק יכול היה להפחית באופן משמעותי את עוצמת הפגיעה הנגרמת בשל </w:t>
      </w:r>
      <w:r w:rsidR="006F2BD5" w:rsidRPr="00643EF4">
        <w:rPr>
          <w:rFonts w:ascii="Garamond" w:hAnsi="Garamond" w:cs="FrankRuehl" w:hint="cs"/>
          <w:spacing w:val="10"/>
          <w:sz w:val="24"/>
          <w:szCs w:val="28"/>
          <w:rtl/>
        </w:rPr>
        <w:t>ה</w:t>
      </w:r>
      <w:r w:rsidRPr="00643EF4">
        <w:rPr>
          <w:rFonts w:ascii="Garamond" w:hAnsi="Garamond" w:cs="FrankRuehl" w:hint="cs"/>
          <w:spacing w:val="10"/>
          <w:sz w:val="24"/>
          <w:szCs w:val="28"/>
          <w:rtl/>
        </w:rPr>
        <w:t xml:space="preserve">חוק </w:t>
      </w:r>
      <w:r w:rsidR="006F2BD5" w:rsidRPr="00643EF4">
        <w:rPr>
          <w:rFonts w:ascii="Garamond" w:hAnsi="Garamond" w:cs="FrankRuehl" w:hint="cs"/>
          <w:spacing w:val="10"/>
          <w:sz w:val="24"/>
          <w:szCs w:val="28"/>
          <w:rtl/>
        </w:rPr>
        <w:t>ל</w:t>
      </w:r>
      <w:r w:rsidRPr="00643EF4">
        <w:rPr>
          <w:rFonts w:ascii="Garamond" w:hAnsi="Garamond" w:cs="FrankRuehl" w:hint="cs"/>
          <w:spacing w:val="10"/>
          <w:sz w:val="24"/>
          <w:szCs w:val="28"/>
          <w:rtl/>
        </w:rPr>
        <w:t xml:space="preserve">זכויות חוקתיות. </w:t>
      </w:r>
    </w:p>
    <w:p w14:paraId="31962C10" w14:textId="77777777" w:rsidR="0081114E" w:rsidRPr="00643EF4" w:rsidRDefault="0081114E" w:rsidP="0081114E">
      <w:pPr>
        <w:tabs>
          <w:tab w:val="left" w:pos="800"/>
        </w:tabs>
        <w:spacing w:line="360" w:lineRule="auto"/>
        <w:jc w:val="both"/>
        <w:rPr>
          <w:rFonts w:ascii="Garamond" w:hAnsi="Garamond" w:cs="FrankRuehl"/>
          <w:spacing w:val="10"/>
          <w:sz w:val="24"/>
          <w:szCs w:val="28"/>
        </w:rPr>
      </w:pPr>
    </w:p>
    <w:p w14:paraId="69251D87" w14:textId="7084BAA5" w:rsidR="0081114E" w:rsidRPr="00643EF4" w:rsidRDefault="006F2BD5" w:rsidP="006D595C">
      <w:pPr>
        <w:pStyle w:val="Ruller4"/>
        <w:rPr>
          <w:rtl/>
        </w:rPr>
      </w:pPr>
      <w:r w:rsidRPr="00643EF4">
        <w:rPr>
          <w:rFonts w:hint="cs"/>
          <w:rtl/>
        </w:rPr>
        <w:t>עוצמת פגיעתו של ההסדר הקבוע בסעיף 3(2) לחוק, שעניינו מקרקעין שיש בהם בעל זכויות היא ברורה</w:t>
      </w:r>
      <w:r w:rsidR="00DB5040" w:rsidRPr="00643EF4">
        <w:rPr>
          <w:rFonts w:hint="cs"/>
          <w:rtl/>
        </w:rPr>
        <w:t>,</w:t>
      </w:r>
      <w:r w:rsidR="006D595C" w:rsidRPr="00643EF4">
        <w:rPr>
          <w:rFonts w:hint="cs"/>
          <w:rtl/>
        </w:rPr>
        <w:t xml:space="preserve"> וניתן היה לומר כי</w:t>
      </w:r>
      <w:r w:rsidRPr="00643EF4">
        <w:rPr>
          <w:rFonts w:hint="cs"/>
          <w:rtl/>
        </w:rPr>
        <w:t xml:space="preserve"> </w:t>
      </w:r>
      <w:r w:rsidR="0081114E" w:rsidRPr="00643EF4">
        <w:rPr>
          <w:rFonts w:hint="cs"/>
          <w:rtl/>
        </w:rPr>
        <w:t xml:space="preserve">ההסדר הקבוע </w:t>
      </w:r>
      <w:r w:rsidR="0081114E" w:rsidRPr="00643EF4">
        <w:rPr>
          <w:rFonts w:ascii="Century" w:hAnsi="Century" w:hint="cs"/>
          <w:sz w:val="22"/>
          <w:rtl/>
        </w:rPr>
        <w:t>בסעיף 3(1) לחוק ההסדרה</w:t>
      </w:r>
      <w:r w:rsidR="0081114E" w:rsidRPr="00643EF4">
        <w:rPr>
          <w:rFonts w:ascii="Century" w:hAnsi="Century" w:cs="Miriam" w:hint="cs"/>
          <w:b/>
          <w:sz w:val="22"/>
          <w:szCs w:val="24"/>
          <w:rtl/>
        </w:rPr>
        <w:t xml:space="preserve"> </w:t>
      </w:r>
      <w:r w:rsidR="006D595C" w:rsidRPr="00643EF4">
        <w:rPr>
          <w:rFonts w:ascii="Century" w:hAnsi="Century" w:hint="cs"/>
          <w:sz w:val="22"/>
          <w:rtl/>
        </w:rPr>
        <w:t>ש</w:t>
      </w:r>
      <w:r w:rsidR="0081114E" w:rsidRPr="00643EF4">
        <w:rPr>
          <w:rFonts w:ascii="Century" w:hAnsi="Century" w:hint="cs"/>
          <w:sz w:val="22"/>
          <w:rtl/>
        </w:rPr>
        <w:t>עניינו במקרקעין שאין בהם בעל זכויות בעת הזו</w:t>
      </w:r>
      <w:r w:rsidR="006D595C" w:rsidRPr="00643EF4">
        <w:rPr>
          <w:rFonts w:hint="cs"/>
          <w:rtl/>
        </w:rPr>
        <w:t>,</w:t>
      </w:r>
      <w:r w:rsidR="0081114E" w:rsidRPr="00643EF4">
        <w:rPr>
          <w:rFonts w:hint="cs"/>
          <w:rtl/>
        </w:rPr>
        <w:t xml:space="preserve"> </w:t>
      </w:r>
      <w:r w:rsidR="006D595C" w:rsidRPr="00643EF4">
        <w:rPr>
          <w:rFonts w:hint="cs"/>
          <w:rtl/>
        </w:rPr>
        <w:t>פגיעתו</w:t>
      </w:r>
      <w:r w:rsidR="0081114E" w:rsidRPr="00643EF4">
        <w:rPr>
          <w:rFonts w:hint="cs"/>
          <w:rtl/>
        </w:rPr>
        <w:t xml:space="preserve"> פחותה. ואולם, לגישתי, אף הסדר זה אינו צולח את מבחן המידתיות ב"מובן הצר". עיון בהסדר מעלה כי הוא אינו מתנה את סמכותו של הממונה להכריז על מקרקעין אלה כעל "רכוש ממשלתי" בהפעלת שיקול דעת מצדו. הוא אף אינו מתנה סמכות זו בבחינה של הדין המהותי, קרי בהתקיימות התנאים הקבועים בסעיף 1 לצו בדבר רכוש ממשלתי לעניין הכרזה על מקרקעין כעל "רכוש ממשלתי". כמו כן, הליך רישום המקרקעין כ"רכוש ממשלתי" לפי החוק אינו כפוף לפרוצדורה הננקטת במצב הדברים הרגיל על ידי המפקד הצבאי בכל הנוגע להכרזה על מקרקעין כ"רכוש ממשלתי" מכוח הוראות הצו בדבר רכוש ממשלתי. חלף זאת, חוק ההסדרה קובע </w:t>
      </w:r>
      <w:r w:rsidR="0081114E" w:rsidRPr="00643EF4">
        <w:rPr>
          <w:rFonts w:ascii="Century" w:hAnsi="Century" w:cs="Miriam" w:hint="eastAsia"/>
          <w:b/>
          <w:sz w:val="22"/>
          <w:szCs w:val="24"/>
          <w:rtl/>
        </w:rPr>
        <w:t>חזקה</w:t>
      </w:r>
      <w:r w:rsidR="0081114E" w:rsidRPr="00643EF4">
        <w:rPr>
          <w:rFonts w:ascii="Century" w:hAnsi="Century" w:cs="Miriam"/>
          <w:b/>
          <w:sz w:val="22"/>
          <w:szCs w:val="24"/>
          <w:rtl/>
        </w:rPr>
        <w:t xml:space="preserve"> </w:t>
      </w:r>
      <w:r w:rsidR="0081114E" w:rsidRPr="00643EF4">
        <w:rPr>
          <w:rFonts w:ascii="Century" w:hAnsi="Century" w:cs="Miriam" w:hint="eastAsia"/>
          <w:b/>
          <w:sz w:val="22"/>
          <w:szCs w:val="24"/>
          <w:rtl/>
        </w:rPr>
        <w:t>גורפת</w:t>
      </w:r>
      <w:r w:rsidR="0081114E" w:rsidRPr="00643EF4">
        <w:rPr>
          <w:rtl/>
        </w:rPr>
        <w:t xml:space="preserve"> </w:t>
      </w:r>
      <w:r w:rsidR="0081114E" w:rsidRPr="00643EF4">
        <w:rPr>
          <w:rFonts w:hint="cs"/>
          <w:rtl/>
        </w:rPr>
        <w:t xml:space="preserve">וכללית לפיה כל מקרקעין שהוקמה עליהם בנייה שנעשתה בתום לב או בהסכמת המדינה </w:t>
      </w:r>
      <w:r w:rsidR="0081114E" w:rsidRPr="00643EF4">
        <w:rPr>
          <w:rtl/>
        </w:rPr>
        <w:t>–</w:t>
      </w:r>
      <w:r w:rsidR="0081114E" w:rsidRPr="00643EF4">
        <w:rPr>
          <w:rFonts w:hint="cs"/>
          <w:rtl/>
        </w:rPr>
        <w:t xml:space="preserve"> על כל הבעייתיות הנובעת מן הנוסח הגורף של תנאים אלה כמפורט לעיל בהרחבה </w:t>
      </w:r>
      <w:r w:rsidR="0081114E" w:rsidRPr="00643EF4">
        <w:rPr>
          <w:rtl/>
        </w:rPr>
        <w:t>–</w:t>
      </w:r>
      <w:r w:rsidR="0081114E" w:rsidRPr="00643EF4">
        <w:rPr>
          <w:rFonts w:hint="cs"/>
          <w:rtl/>
        </w:rPr>
        <w:t xml:space="preserve"> ירשמו כ"רכוש ממשלתי". הנטל לסתור את החזקה האמורה ולהוכיח קיומן של זכויות במקרקעין מוטל על הטוען לזכות והחוק אינו קובע מנגנון להוכחת הזכויות הנטענות במקרקעין או להשגה על עצם הקביעה כי מקרקעין מסוימים הם בגדר "רכוש ממשלתי". הטלת הנטל להוכחת קיומן של זכויות קנייניות במקרקעין על הטוען לזכויות, מעוררת קושי מיוחד לנוכח לוח הזמנים הקבוע בחוק </w:t>
      </w:r>
      <w:r w:rsidR="0081114E" w:rsidRPr="00643EF4">
        <w:rPr>
          <w:rtl/>
        </w:rPr>
        <w:t>–</w:t>
      </w:r>
      <w:r w:rsidR="0081114E" w:rsidRPr="00643EF4">
        <w:rPr>
          <w:rFonts w:hint="cs"/>
          <w:rtl/>
        </w:rPr>
        <w:t xml:space="preserve"> רישום המקרקעין כ"רכוש ממשלתי" אמור להתבצע בתוך 12 חודשים מיום פרסומו של החוק, והם יוקצו לטובת ההתיישבות שהוקמה עליהם 60 ימים לאחר הכרזת הממונה. בשים לב לקושי הרב בהוכחת זכויות קנייניות באזור ולהיעדר תיעוד ממוסמך לגבי רבים מהמקרקעין שם, קיים חשש ממשי כי מציאות זו תקשה על בעלי זכויות רבים להוכיח את זכויותיהם בסד הזמנים האמור. לא זו אף זו </w:t>
      </w:r>
      <w:r w:rsidR="0081114E" w:rsidRPr="00643EF4">
        <w:rPr>
          <w:rtl/>
        </w:rPr>
        <w:t>–</w:t>
      </w:r>
      <w:r w:rsidR="0081114E" w:rsidRPr="00643EF4">
        <w:rPr>
          <w:rFonts w:hint="cs"/>
          <w:rtl/>
        </w:rPr>
        <w:t xml:space="preserve"> </w:t>
      </w:r>
      <w:r w:rsidR="0081114E" w:rsidRPr="00643EF4">
        <w:rPr>
          <w:rFonts w:hint="cs"/>
          <w:rtl/>
        </w:rPr>
        <w:lastRenderedPageBreak/>
        <w:t xml:space="preserve">הקושי בהוכחת הזכויות הקנייניות באזור בכלל, ובסד הזמנים הקבוע בחוק ההסדרה בפרט, עלול להוביל לתוצאה קשה עוד יותר לפיה מקרקעין שירשמו כרכוש ממשלתי, יופקעו הלכה למעשה מבעל זיקה קניינית אליהם, ללא כל פיצוי, וזאת בניגוד לעיקרון הבסיסי לפיו לא ניתן להצדיק נטילה שלטונית בלא פיצוי (ע"א 5964/03 </w:t>
      </w:r>
      <w:r w:rsidR="0081114E" w:rsidRPr="00643EF4">
        <w:rPr>
          <w:rFonts w:ascii="Century" w:hAnsi="Century" w:cs="Miriam" w:hint="cs"/>
          <w:b/>
          <w:sz w:val="22"/>
          <w:szCs w:val="24"/>
          <w:rtl/>
        </w:rPr>
        <w:t>עיזבון ארידור נ' עיריית פתח תקווה</w:t>
      </w:r>
      <w:r w:rsidR="0081114E" w:rsidRPr="00643EF4">
        <w:rPr>
          <w:rFonts w:hint="cs"/>
          <w:rtl/>
        </w:rPr>
        <w:t xml:space="preserve">, פ"ד ס(4) 437, 456-455 (2006); שי שטרן "פיצוי נאות: על סעדים וצדק בדיני הנטילה השלטונית בישראל" </w:t>
      </w:r>
      <w:r w:rsidR="0081114E" w:rsidRPr="00643EF4">
        <w:rPr>
          <w:rFonts w:ascii="Century" w:hAnsi="Century" w:cs="Miriam" w:hint="cs"/>
          <w:b/>
          <w:sz w:val="22"/>
          <w:szCs w:val="24"/>
          <w:rtl/>
        </w:rPr>
        <w:t>עיוני משפט</w:t>
      </w:r>
      <w:r w:rsidR="0081114E" w:rsidRPr="00643EF4">
        <w:rPr>
          <w:rFonts w:hint="cs"/>
          <w:rtl/>
        </w:rPr>
        <w:t xml:space="preserve"> מא 141, 147-146 (2019)). </w:t>
      </w:r>
    </w:p>
    <w:p w14:paraId="4FEABB54" w14:textId="77777777" w:rsidR="0081114E" w:rsidRPr="00643EF4" w:rsidRDefault="0081114E" w:rsidP="0081114E">
      <w:pPr>
        <w:tabs>
          <w:tab w:val="left" w:pos="800"/>
          <w:tab w:val="num" w:pos="10307"/>
        </w:tabs>
        <w:spacing w:line="360" w:lineRule="auto"/>
        <w:jc w:val="both"/>
        <w:rPr>
          <w:rFonts w:ascii="Garamond" w:hAnsi="Garamond" w:cs="FrankRuehl"/>
          <w:spacing w:val="10"/>
          <w:sz w:val="24"/>
          <w:szCs w:val="28"/>
          <w:rtl/>
        </w:rPr>
      </w:pPr>
    </w:p>
    <w:p w14:paraId="7B2165F2" w14:textId="24538C9D" w:rsidR="0081114E" w:rsidRPr="00643EF4" w:rsidRDefault="0081114E" w:rsidP="0081114E">
      <w:pPr>
        <w:pStyle w:val="Ruller4"/>
      </w:pPr>
      <w:r w:rsidRPr="00643EF4">
        <w:rPr>
          <w:rFonts w:hint="cs"/>
          <w:rtl/>
        </w:rPr>
        <w:t xml:space="preserve">לפגיעות בזכויות שמסבים שני מסלולי ההסדרה הקבועים בסעיף 3 לחוק, יש להוסיף את הפגיעה שנגרמת </w:t>
      </w:r>
      <w:r w:rsidRPr="00643EF4">
        <w:rPr>
          <w:rFonts w:ascii="Century" w:hAnsi="Century" w:hint="cs"/>
          <w:sz w:val="22"/>
          <w:rtl/>
        </w:rPr>
        <w:t>מהסדר התליית ההליכים הקבוע בסעיף 7 לחוק</w:t>
      </w:r>
      <w:r w:rsidRPr="00643EF4">
        <w:rPr>
          <w:rFonts w:hint="cs"/>
          <w:rtl/>
        </w:rPr>
        <w:t xml:space="preserve">. הסדר זה קובע כי מקום שבו מצאו רשויות האזור כי מתקיימים בהתיישבות התנאים הקבועים בסעיף 3 להסדרתה, יותלו כל הליכי האכיפה והצווים המינהליים הקיימים בעניינה עד להשלמת הליכי התכנון, למעט צווים שיפוטיים או פסקי דין. עוד קובע סעיף 7 כי לאחר השלמת הליכי התכנון יפקעו כל הליכי האכיפה והצווים המינהליים שהותלו. התלייה זו של צווי אכיפה והליכים מינהליים והכשרה בדיעבד של בנייה בלתי חוקית מסבה נזק רב לשלטון החוק. היא אף פוגעת בזכותם של בעלי הזכויות במקרקעין למצות את ההליכים המשפטיים שעומדים לרשותם למימוש זכויותיהם. כפי שראינו, הסדר התליית ההליכים יחול ברוב המוחלט של המקרים ביישובים ישראלים באזור בעוד שבנייה בלתי חוקית אחרת באזור, כמו גם בנייה בלתי חוקית בישראל, נתונה לאמצעי אכיפה כדין. </w:t>
      </w:r>
    </w:p>
    <w:p w14:paraId="4B50EC59"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7A8800D9" w14:textId="77777777" w:rsidR="0081114E" w:rsidRPr="00643EF4" w:rsidRDefault="0081114E" w:rsidP="0081114E">
      <w:pPr>
        <w:tabs>
          <w:tab w:val="left" w:pos="800"/>
        </w:tabs>
        <w:spacing w:line="360" w:lineRule="auto"/>
        <w:jc w:val="both"/>
        <w:rPr>
          <w:rFonts w:ascii="Century" w:hAnsi="Century" w:cs="Miriam"/>
          <w:b/>
          <w:sz w:val="22"/>
          <w:rtl/>
        </w:rPr>
      </w:pPr>
      <w:r w:rsidRPr="00643EF4">
        <w:rPr>
          <w:rFonts w:ascii="Century" w:hAnsi="Century" w:cs="Miriam" w:hint="cs"/>
          <w:b/>
          <w:sz w:val="22"/>
          <w:rtl/>
        </w:rPr>
        <w:t xml:space="preserve">מידתיות ב"מובן הצר" </w:t>
      </w:r>
      <w:r w:rsidRPr="00643EF4">
        <w:rPr>
          <w:rFonts w:ascii="Century" w:hAnsi="Century" w:cs="Miriam"/>
          <w:b/>
          <w:sz w:val="22"/>
          <w:rtl/>
        </w:rPr>
        <w:t>–</w:t>
      </w:r>
      <w:r w:rsidRPr="00643EF4">
        <w:rPr>
          <w:rFonts w:ascii="Century" w:hAnsi="Century" w:cs="Miriam" w:hint="cs"/>
          <w:b/>
          <w:sz w:val="22"/>
          <w:rtl/>
        </w:rPr>
        <w:t xml:space="preserve"> </w:t>
      </w:r>
      <w:r w:rsidRPr="00643EF4">
        <w:rPr>
          <w:rFonts w:ascii="Century" w:hAnsi="Century" w:cs="Miriam" w:hint="eastAsia"/>
          <w:b/>
          <w:sz w:val="22"/>
          <w:rtl/>
        </w:rPr>
        <w:t>טענות</w:t>
      </w:r>
      <w:r w:rsidRPr="00643EF4">
        <w:rPr>
          <w:rFonts w:ascii="Century" w:hAnsi="Century" w:cs="Miriam"/>
          <w:b/>
          <w:sz w:val="22"/>
          <w:rtl/>
        </w:rPr>
        <w:t xml:space="preserve"> </w:t>
      </w:r>
      <w:r w:rsidRPr="00643EF4">
        <w:rPr>
          <w:rFonts w:ascii="Century" w:hAnsi="Century" w:cs="Miriam" w:hint="eastAsia"/>
          <w:b/>
          <w:sz w:val="22"/>
          <w:rtl/>
        </w:rPr>
        <w:t>נוספות</w:t>
      </w:r>
      <w:r w:rsidRPr="00643EF4">
        <w:rPr>
          <w:rFonts w:ascii="Century" w:hAnsi="Century" w:cs="Miriam"/>
          <w:b/>
          <w:sz w:val="22"/>
          <w:rtl/>
        </w:rPr>
        <w:t xml:space="preserve"> </w:t>
      </w:r>
    </w:p>
    <w:p w14:paraId="4E9581F6"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58A7A164" w14:textId="72CF5585" w:rsidR="0081114E" w:rsidRPr="00643EF4" w:rsidRDefault="0081114E" w:rsidP="0081114E">
      <w:pPr>
        <w:pStyle w:val="Ruller4"/>
        <w:rPr>
          <w:rtl/>
        </w:rPr>
      </w:pPr>
      <w:r w:rsidRPr="00643EF4">
        <w:rPr>
          <w:rFonts w:hint="cs"/>
          <w:rtl/>
        </w:rPr>
        <w:t xml:space="preserve">הממשלה, הכנסת ומועצת מטה בנימין טענו עוד כי השיקול הפרגמטי שהועלה על ידן גם בהקשר של בחינת "התכלית הראויה", מטה את הכף לטובת הקביעה כי החוק מידתי. טיעון זה נשען על שניים: </w:t>
      </w:r>
      <w:r w:rsidRPr="00643EF4">
        <w:rPr>
          <w:rFonts w:ascii="Century" w:hAnsi="Century" w:cs="Miriam" w:hint="cs"/>
          <w:b/>
          <w:sz w:val="22"/>
          <w:szCs w:val="24"/>
          <w:rtl/>
        </w:rPr>
        <w:t>ראשית</w:t>
      </w:r>
      <w:r w:rsidRPr="00643EF4">
        <w:rPr>
          <w:rFonts w:hint="cs"/>
          <w:rtl/>
        </w:rPr>
        <w:t xml:space="preserve">, העובדה כי המבנים כבר בנויים הלכה למעשה והם בבחינת "מעשה עשוי". </w:t>
      </w:r>
      <w:r w:rsidRPr="00643EF4">
        <w:rPr>
          <w:rFonts w:ascii="Century" w:hAnsi="Century" w:cs="Miriam" w:hint="cs"/>
          <w:b/>
          <w:sz w:val="22"/>
          <w:szCs w:val="24"/>
          <w:rtl/>
        </w:rPr>
        <w:t>שנית</w:t>
      </w:r>
      <w:r w:rsidRPr="00643EF4">
        <w:rPr>
          <w:rFonts w:hint="cs"/>
          <w:rtl/>
        </w:rPr>
        <w:t xml:space="preserve">, העובדה כי בחלק מן המקרים נשללת בפועל יכולתם של בעלי הזכויות הפלסטינים להשתמש במקרקעין, שכן אלה "כלואים" בלב ההתיישבות ולכן גם מבחינת טובתם עדיפה רכישת הזכויות הכפויה. </w:t>
      </w:r>
    </w:p>
    <w:p w14:paraId="31E7702A" w14:textId="77777777" w:rsidR="0081114E" w:rsidRPr="00643EF4" w:rsidRDefault="0081114E" w:rsidP="0081114E">
      <w:pPr>
        <w:tabs>
          <w:tab w:val="left" w:pos="800"/>
        </w:tabs>
        <w:spacing w:line="360" w:lineRule="auto"/>
        <w:jc w:val="both"/>
        <w:rPr>
          <w:rFonts w:ascii="Arial TUR" w:hAnsi="Arial TUR" w:cs="FrankRuehl"/>
          <w:spacing w:val="10"/>
          <w:sz w:val="22"/>
          <w:szCs w:val="28"/>
        </w:rPr>
      </w:pPr>
    </w:p>
    <w:p w14:paraId="16C6D83F"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אין בידי לקבל טענות אלו. </w:t>
      </w:r>
    </w:p>
    <w:p w14:paraId="6562AC52"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p>
    <w:p w14:paraId="1579B1EA" w14:textId="77777777" w:rsidR="0081114E" w:rsidRPr="00643EF4" w:rsidRDefault="0081114E" w:rsidP="0081114E">
      <w:pPr>
        <w:tabs>
          <w:tab w:val="left" w:pos="800"/>
        </w:tabs>
        <w:spacing w:line="360" w:lineRule="auto"/>
        <w:jc w:val="both"/>
        <w:rPr>
          <w:rFonts w:ascii="Garamond" w:hAnsi="Garamond" w:cs="FrankRuehl"/>
          <w:spacing w:val="10"/>
          <w:sz w:val="24"/>
          <w:szCs w:val="28"/>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באשר לשיקול הראשון, אמנם, אפשר שבמקרים מסוימים שיקולים הנוגעים ליעילות כלכלית ומניעת בזבוז משאבים יביאו להעדפת האינטרס של מקים המבנים, וכפי שראינו, ההסדרים הקניינים בישראל ובאזור אף נכונים לייחס לכך משקל בנסיבות מסוימות. עם זאת, המנגנון הקבוע בחוק ההסדרה אינו מגלם איזון בין שיקולים אלה לשיקולים אחרים והוא מבטא העדפה גורפת של שיקולי היעילות. באשר לשיקול השני, ועמד על כך היועץ המשפטי לממשלה, גם אם ייתכנו מצבים פרטניים שבהם ההסדרים </w:t>
      </w:r>
      <w:r w:rsidRPr="00643EF4">
        <w:rPr>
          <w:rFonts w:ascii="Garamond" w:hAnsi="Garamond" w:cs="FrankRuehl" w:hint="cs"/>
          <w:spacing w:val="10"/>
          <w:sz w:val="24"/>
          <w:szCs w:val="28"/>
          <w:rtl/>
        </w:rPr>
        <w:lastRenderedPageBreak/>
        <w:t xml:space="preserve">שבחוק מיטיבים עם בעלי הזכויות הפלסטינים אין בכך כדי להוביל למסקנה כי החוק בכללותו אינו פוגע בזכויות יתר על המידה. מכל מקום, לא הוצגו בפנינו כל נתונים בהקשר זה. </w:t>
      </w:r>
    </w:p>
    <w:p w14:paraId="78AB159A" w14:textId="77777777" w:rsidR="0081114E" w:rsidRPr="00643EF4" w:rsidRDefault="0081114E" w:rsidP="0081114E">
      <w:pPr>
        <w:tabs>
          <w:tab w:val="left" w:pos="800"/>
        </w:tabs>
        <w:spacing w:line="360" w:lineRule="auto"/>
        <w:jc w:val="both"/>
        <w:rPr>
          <w:rFonts w:ascii="Garamond" w:hAnsi="Garamond" w:cs="FrankRuehl"/>
          <w:spacing w:val="10"/>
          <w:sz w:val="24"/>
          <w:szCs w:val="28"/>
          <w:rtl/>
        </w:rPr>
      </w:pPr>
    </w:p>
    <w:p w14:paraId="5668AC9B" w14:textId="512CD3DA" w:rsidR="0081114E" w:rsidRPr="00643EF4" w:rsidRDefault="0081114E" w:rsidP="0081114E">
      <w:pPr>
        <w:pStyle w:val="Ruller4"/>
        <w:rPr>
          <w:rFonts w:ascii="Century" w:hAnsi="Century"/>
          <w:sz w:val="22"/>
          <w:rtl/>
        </w:rPr>
      </w:pPr>
      <w:r w:rsidRPr="00643EF4">
        <w:rPr>
          <w:rFonts w:hint="cs"/>
          <w:rtl/>
        </w:rPr>
        <w:t>עוד טענו הממשלה, הכנסת ומועצת מטה בנימין כי נטילת הזכויות במקרקעין היא זמנית עד "להכרעה מדינית בדבר מעמדו של האזור וההתיישבות בו" (סעיף 3(2)(ב) לחוק), וכי החוק אינו מפקיע את זכות הבעלות אלא אך את זכויות השימוש והחזקה במקרקעין. לטענתן, עובדות אלה משקפות פגיעה פחותה ומידתית יותר בזכויות.</w:t>
      </w:r>
      <w:r w:rsidRPr="00643EF4">
        <w:rPr>
          <w:rFonts w:ascii="Century" w:hAnsi="Century" w:hint="cs"/>
          <w:sz w:val="22"/>
          <w:rtl/>
        </w:rPr>
        <w:t xml:space="preserve"> אכן, החוק אינו מנתק באופן מוחלט את הזיקה הקניינית בין בעל הזכויות המקורי במקרקעין ובין המקרקעין עצמם וכבר נפסק כי ככל שנטילת הזכויות היא זמנית וקצובה כדי פרק הזמן ההכרחי בנסיבות העניין, יש בכך כדי להשליך לטובה על מידתיות ההסדר (עניין </w:t>
      </w:r>
      <w:r w:rsidRPr="00643EF4">
        <w:rPr>
          <w:rFonts w:ascii="Century" w:hAnsi="Century" w:cs="Miriam" w:hint="cs"/>
          <w:b/>
          <w:sz w:val="22"/>
          <w:szCs w:val="24"/>
          <w:rtl/>
        </w:rPr>
        <w:t>בית איכסא</w:t>
      </w:r>
      <w:r w:rsidRPr="00643EF4">
        <w:rPr>
          <w:rFonts w:ascii="Century" w:hAnsi="Century" w:hint="cs"/>
          <w:sz w:val="22"/>
          <w:rtl/>
        </w:rPr>
        <w:t xml:space="preserve">, פסקה 29). עם זאת, בענייננו קשה להלום את הטענה לפיה מדובר בנטילה זמנית. זאת, בין היתר, בהינתן העובדה כי אין מדובר בפרק זמן קצוב אלא במציאות דברים הנמשכת מזה כחמישה עשורים וסופה אינו ידוע. הטענה כי החוק מפקיע אך את זכויות השימוש והחזקה במקרקעין, אף היא אינה נושאת משקל משמעותי לעניין מידתיות החוק ב"מובן הצר". זאת, בהינתן העובדה שזכות בעלות במקרקעין פרטיים, ככל שהיא קיימת ואף אם היא נשמרת, אין לה משמעות מעשית או כלכלית רבה אם ניטלים ממנה זכויות השימוש והחזקה ולו לתקופה המוגדרת כ"זמנית" אך סופה אינו ידוע (ראו </w:t>
      </w:r>
      <w:r w:rsidRPr="00643EF4">
        <w:rPr>
          <w:rFonts w:ascii="Century" w:hAnsi="Century" w:cs="Miriam" w:hint="cs"/>
          <w:b/>
          <w:sz w:val="22"/>
          <w:szCs w:val="24"/>
          <w:rtl/>
        </w:rPr>
        <w:t>התפרקותה של פרדיגמת הכיבוש בשטחים</w:t>
      </w:r>
      <w:r w:rsidRPr="00643EF4">
        <w:rPr>
          <w:rFonts w:ascii="Century" w:hAnsi="Century" w:hint="cs"/>
          <w:sz w:val="22"/>
          <w:rtl/>
        </w:rPr>
        <w:t xml:space="preserve">, בעמ' 29). </w:t>
      </w:r>
    </w:p>
    <w:p w14:paraId="08B2934C"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45C98E0B" w14:textId="04E33343" w:rsidR="0081114E" w:rsidRPr="00643EF4" w:rsidRDefault="0081114E" w:rsidP="0081114E">
      <w:pPr>
        <w:pStyle w:val="Ruller4"/>
      </w:pPr>
      <w:r w:rsidRPr="00643EF4">
        <w:rPr>
          <w:rFonts w:hint="cs"/>
          <w:rtl/>
        </w:rPr>
        <w:t xml:space="preserve">הממשלה, הכנסת ומועצת מטה בנימין הוסיפו וטענו כי העובדה שהחוק קובע פיצוי כספי או פיצוי באמצעות הקניית מקרקעין חלופיים למי שזכויותיו במקרקעין ניטלו, מלמדת אף היא על מידתיות הפגיעה. </w:t>
      </w:r>
      <w:r w:rsidRPr="00643EF4">
        <w:rPr>
          <w:rFonts w:ascii="Arial TUR" w:hAnsi="Arial TUR" w:hint="cs"/>
          <w:sz w:val="22"/>
          <w:rtl/>
        </w:rPr>
        <w:t xml:space="preserve">מנגנון הפיצוי בחוק ההסדרה קבוע בסעיף </w:t>
      </w:r>
      <w:r w:rsidRPr="00643EF4">
        <w:rPr>
          <w:rFonts w:hint="cs"/>
          <w:rtl/>
        </w:rPr>
        <w:t>8(א) לפיו "</w:t>
      </w:r>
      <w:r w:rsidRPr="00643EF4">
        <w:rPr>
          <w:rFonts w:ascii="Century" w:hAnsi="Century" w:hint="cs"/>
          <w:sz w:val="22"/>
          <w:rtl/>
        </w:rPr>
        <w:t>נטלו רשויות האזור את זכויות השימוש וההחזקה במקרקעין בהתאם להוראות סעיף 3(2), יהיה זכאי בעל הזכויות במקרקעין לדמי שימוש שנתיים בשיעור של 125% מערכם הראוי של דמי השימוש כפי שתקבע ועדת השומה לפי סעיף 9(ג) (להלן</w:t>
      </w:r>
      <w:r w:rsidR="0078340A" w:rsidRPr="00643EF4">
        <w:rPr>
          <w:rFonts w:ascii="Century" w:hAnsi="Century" w:hint="cs"/>
          <w:sz w:val="22"/>
          <w:rtl/>
        </w:rPr>
        <w:t xml:space="preserve">: </w:t>
      </w:r>
      <w:r w:rsidRPr="00643EF4">
        <w:rPr>
          <w:rFonts w:ascii="Century" w:hAnsi="Century" w:cs="Miriam" w:hint="cs"/>
          <w:b/>
          <w:spacing w:val="0"/>
          <w:sz w:val="22"/>
          <w:szCs w:val="24"/>
          <w:rtl/>
        </w:rPr>
        <w:t>ערכם הראוי</w:t>
      </w:r>
      <w:r w:rsidRPr="00643EF4">
        <w:rPr>
          <w:rFonts w:ascii="Century" w:hAnsi="Century" w:hint="cs"/>
          <w:sz w:val="22"/>
          <w:rtl/>
        </w:rPr>
        <w:t>), לדמי שימוש מהוונים לתקופות של 20 שנה כל פעם בשיעור של 125% מערכם הראוי, או לקרקע חלופית ככל שהדבר אפשרי בנסיבות העניין, לפי בחירתו"</w:t>
      </w:r>
      <w:r w:rsidRPr="00643EF4">
        <w:rPr>
          <w:rFonts w:ascii="Century" w:hAnsi="Century"/>
          <w:sz w:val="22"/>
          <w:rtl/>
        </w:rPr>
        <w:t>.</w:t>
      </w:r>
      <w:r w:rsidRPr="00643EF4">
        <w:rPr>
          <w:rFonts w:hint="cs"/>
          <w:rtl/>
        </w:rPr>
        <w:t xml:space="preserve"> סעיף 9 לחוק מוסיף וקובע בהקשר זה את הרכב ועדת השומה ואת מתכונת פעילותה והוא מורה כי הוועדה תקבע את שיעור דמי השימוש או את הקרקע החלופית שתוצע, לאחר ששמעה את טענות בעל הזכויות במקרקעין, ככל שטען ו"שקלה את כלל נסיבות העניין". עוד קובע סעיף 9 כי על החלטת הוועדה ניתן להשיג בפני ועדת ההשגות שתוקם מכוח החוק. </w:t>
      </w:r>
    </w:p>
    <w:p w14:paraId="605B281E" w14:textId="77777777" w:rsidR="0081114E" w:rsidRPr="00643EF4" w:rsidRDefault="0081114E" w:rsidP="0081114E">
      <w:pPr>
        <w:tabs>
          <w:tab w:val="left" w:pos="800"/>
        </w:tabs>
        <w:spacing w:line="360" w:lineRule="auto"/>
        <w:jc w:val="both"/>
        <w:rPr>
          <w:rFonts w:ascii="Garamond" w:hAnsi="Garamond" w:cs="FrankRuehl"/>
          <w:spacing w:val="10"/>
          <w:sz w:val="24"/>
          <w:szCs w:val="28"/>
        </w:rPr>
      </w:pPr>
    </w:p>
    <w:p w14:paraId="241EE4DC" w14:textId="25FE9D0B" w:rsidR="0081114E" w:rsidRPr="00643EF4" w:rsidRDefault="0081114E" w:rsidP="00A7632E">
      <w:pPr>
        <w:tabs>
          <w:tab w:val="left" w:pos="800"/>
        </w:tabs>
        <w:spacing w:line="360" w:lineRule="auto"/>
        <w:jc w:val="both"/>
        <w:rPr>
          <w:rFonts w:ascii="Arial TUR" w:hAnsi="Arial TUR" w:cs="FrankRuehl"/>
          <w:spacing w:val="10"/>
          <w:sz w:val="22"/>
          <w:szCs w:val="28"/>
          <w:rtl/>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 xml:space="preserve">אכן, הענקת פיצוי </w:t>
      </w:r>
      <w:r w:rsidRPr="00643EF4">
        <w:rPr>
          <w:rFonts w:ascii="Arial TUR" w:hAnsi="Arial TUR" w:cs="FrankRuehl" w:hint="cs"/>
          <w:spacing w:val="10"/>
          <w:sz w:val="22"/>
          <w:szCs w:val="28"/>
          <w:rtl/>
        </w:rPr>
        <w:t xml:space="preserve">בגין הפקעת מקרקעין מרככת ומצמצמת את הפגיעה הקניינית הכרוכה בכך. הפיצוי מקטין את מעגלי הנזק הנגרמים כתוצאה מן ההפקעה, הוא מקדם </w:t>
      </w:r>
      <w:r w:rsidRPr="00643EF4">
        <w:rPr>
          <w:rFonts w:ascii="Arial TUR" w:hAnsi="Arial TUR" w:cs="FrankRuehl" w:hint="cs"/>
          <w:spacing w:val="10"/>
          <w:sz w:val="22"/>
          <w:szCs w:val="28"/>
          <w:rtl/>
        </w:rPr>
        <w:lastRenderedPageBreak/>
        <w:t xml:space="preserve">את העיקרון של צדק חלוקתי, ממתן את הפגיעה בשוויון הכרוכה בהפקעה ומעודד תמריצים יעילים לפעילות הרשות (עניין </w:t>
      </w:r>
      <w:r w:rsidRPr="00643EF4">
        <w:rPr>
          <w:rFonts w:ascii="Century" w:hAnsi="Century" w:cs="Miriam" w:hint="cs"/>
          <w:sz w:val="22"/>
          <w:rtl/>
        </w:rPr>
        <w:t>בית איכסא</w:t>
      </w:r>
      <w:r w:rsidRPr="00643EF4">
        <w:rPr>
          <w:rFonts w:ascii="Century" w:hAnsi="Century" w:cs="FrankRuehl" w:hint="cs"/>
          <w:spacing w:val="10"/>
          <w:sz w:val="22"/>
          <w:szCs w:val="28"/>
          <w:rtl/>
        </w:rPr>
        <w:t xml:space="preserve">, פסקה 31; </w:t>
      </w:r>
      <w:r w:rsidR="00D456E6" w:rsidRPr="00643EF4">
        <w:rPr>
          <w:rFonts w:ascii="Century" w:hAnsi="Century" w:cs="FrankRuehl"/>
          <w:spacing w:val="10"/>
          <w:sz w:val="22"/>
          <w:szCs w:val="28"/>
          <w:rtl/>
        </w:rPr>
        <w:t xml:space="preserve">בג"ץ 3421/05 </w:t>
      </w:r>
      <w:r w:rsidR="00D456E6" w:rsidRPr="00643EF4">
        <w:rPr>
          <w:rFonts w:ascii="Century" w:hAnsi="Century" w:cs="Miriam"/>
          <w:b/>
          <w:sz w:val="22"/>
          <w:rtl/>
        </w:rPr>
        <w:t>מח'ול נ' שר האוצר – משרד האוצר</w:t>
      </w:r>
      <w:r w:rsidRPr="00643EF4">
        <w:rPr>
          <w:rFonts w:ascii="Century" w:hAnsi="Century" w:cs="FrankRuehl" w:hint="cs"/>
          <w:spacing w:val="10"/>
          <w:sz w:val="22"/>
          <w:szCs w:val="28"/>
          <w:rtl/>
        </w:rPr>
        <w:t>, פסקה 34</w:t>
      </w:r>
      <w:r w:rsidR="00D456E6" w:rsidRPr="00643EF4">
        <w:rPr>
          <w:rFonts w:ascii="Arial TUR" w:hAnsi="Arial TUR" w:cs="FrankRuehl" w:hint="cs"/>
          <w:spacing w:val="10"/>
          <w:sz w:val="22"/>
          <w:szCs w:val="28"/>
          <w:rtl/>
        </w:rPr>
        <w:t xml:space="preserve"> </w:t>
      </w:r>
      <w:r w:rsidR="00D456E6" w:rsidRPr="00643EF4">
        <w:rPr>
          <w:rFonts w:ascii="Century" w:hAnsi="Century" w:cs="FrankRuehl"/>
          <w:spacing w:val="10"/>
          <w:sz w:val="22"/>
          <w:szCs w:val="28"/>
          <w:rtl/>
        </w:rPr>
        <w:t>(18.</w:t>
      </w:r>
      <w:r w:rsidR="00D456E6" w:rsidRPr="00643EF4">
        <w:rPr>
          <w:rFonts w:ascii="Century" w:hAnsi="Century" w:cs="FrankRuehl" w:hint="cs"/>
          <w:spacing w:val="10"/>
          <w:sz w:val="22"/>
          <w:szCs w:val="28"/>
          <w:rtl/>
        </w:rPr>
        <w:t>6</w:t>
      </w:r>
      <w:r w:rsidR="00D456E6" w:rsidRPr="00643EF4">
        <w:rPr>
          <w:rFonts w:ascii="Century" w:hAnsi="Century" w:cs="FrankRuehl"/>
          <w:spacing w:val="10"/>
          <w:sz w:val="22"/>
          <w:szCs w:val="28"/>
          <w:rtl/>
        </w:rPr>
        <w:t>.2009)</w:t>
      </w:r>
      <w:r w:rsidRPr="00643EF4">
        <w:rPr>
          <w:rFonts w:ascii="Arial TUR" w:hAnsi="Arial TUR" w:cs="FrankRuehl" w:hint="cs"/>
          <w:spacing w:val="10"/>
          <w:sz w:val="22"/>
          <w:szCs w:val="28"/>
          <w:rtl/>
        </w:rPr>
        <w:t xml:space="preserve">; </w:t>
      </w:r>
      <w:r w:rsidRPr="00643EF4">
        <w:rPr>
          <w:rFonts w:ascii="Century" w:hAnsi="Century" w:cs="Miriam" w:hint="cs"/>
          <w:b/>
          <w:sz w:val="22"/>
          <w:rtl/>
        </w:rPr>
        <w:t>שיקולים חלוקתיים</w:t>
      </w:r>
      <w:r w:rsidRPr="00643EF4">
        <w:rPr>
          <w:rFonts w:ascii="Century" w:hAnsi="Century" w:cs="FrankRuehl" w:hint="cs"/>
          <w:spacing w:val="10"/>
          <w:sz w:val="22"/>
          <w:szCs w:val="28"/>
          <w:rtl/>
        </w:rPr>
        <w:t xml:space="preserve">, בעמ' 500-494). </w:t>
      </w:r>
      <w:r w:rsidRPr="00643EF4">
        <w:rPr>
          <w:rFonts w:ascii="Arial TUR" w:hAnsi="Arial TUR" w:cs="FrankRuehl" w:hint="cs"/>
          <w:spacing w:val="10"/>
          <w:sz w:val="22"/>
          <w:szCs w:val="28"/>
          <w:rtl/>
        </w:rPr>
        <w:t xml:space="preserve">אך לא ניתן להתעלם מן </w:t>
      </w:r>
      <w:r w:rsidRPr="00643EF4">
        <w:rPr>
          <w:rFonts w:ascii="Garamond" w:hAnsi="Garamond" w:cs="FrankRuehl" w:hint="cs"/>
          <w:spacing w:val="10"/>
          <w:sz w:val="24"/>
          <w:szCs w:val="28"/>
          <w:rtl/>
        </w:rPr>
        <w:t xml:space="preserve">השוני הבולט המבדיל את חוק ההסדרה ממקרים אחרים של נטילה כפויה כנגד פיצוי. שוני זה נעוץ בכך שקבוצת הניזוקים אינה משתייכת לקהילת הנהנים ממעשה נטילת הזכויות, אף לא במובן הרחב. בניגוד למקרים אופייניים של נטילה שלטונית של זכויות במקרקעין, הנטל העודף שבו נושאים בעלי הזכויות המקוריים בענייננו אינו מתקזז, איפוא, אל מול התועלת שתצמח להם מן הנטילה או התועלת שתצמח מנטילות עתידיות (השוו </w:t>
      </w:r>
      <w:r w:rsidRPr="00643EF4">
        <w:rPr>
          <w:rFonts w:ascii="Century" w:hAnsi="Century" w:cs="Miriam" w:hint="cs"/>
          <w:b/>
          <w:sz w:val="22"/>
          <w:rtl/>
        </w:rPr>
        <w:t>שיקולים חלוקתיים</w:t>
      </w:r>
      <w:r w:rsidRPr="00643EF4">
        <w:rPr>
          <w:rFonts w:ascii="Century" w:hAnsi="Century" w:cs="FrankRuehl" w:hint="cs"/>
          <w:spacing w:val="10"/>
          <w:sz w:val="22"/>
          <w:szCs w:val="28"/>
          <w:rtl/>
        </w:rPr>
        <w:t>, בעמ' 500-499). העובדה שבענייננו קבוצת הניזוקים מן ההסדר משתייכת לאוכלוסיית ה"תושבים המוגנים" באזור אך מעצימה את השוני הזה ואת הפגיעה בזכויותיהם. עוד יש להוסיף כי מנגנון הפיצוי שנקבע בחוק מעלה שאלות רבות</w:t>
      </w:r>
      <w:r w:rsidRPr="00643EF4">
        <w:rPr>
          <w:rFonts w:ascii="Garamond" w:hAnsi="Garamond" w:cs="FrankRuehl" w:hint="cs"/>
          <w:spacing w:val="10"/>
          <w:sz w:val="24"/>
          <w:szCs w:val="28"/>
          <w:rtl/>
        </w:rPr>
        <w:t xml:space="preserve"> הנוגעות לאופן חישוב הפיצויים. כך למשל, אין זה ברור האם ניתן פיצוי גם בגין השימוש שעשו התושבים הישראלים במקרקעין בעבר, טרם נטילת הזכויות באופן רשמי על פי חוק ההסדרה. </w:t>
      </w:r>
    </w:p>
    <w:p w14:paraId="503E9D38" w14:textId="77777777" w:rsidR="0081114E" w:rsidRPr="00643EF4" w:rsidRDefault="0081114E" w:rsidP="0081114E">
      <w:pPr>
        <w:tabs>
          <w:tab w:val="left" w:pos="800"/>
        </w:tabs>
        <w:spacing w:line="360" w:lineRule="auto"/>
        <w:jc w:val="both"/>
        <w:rPr>
          <w:rFonts w:ascii="Arial TUR" w:hAnsi="Arial TUR" w:cs="FrankRuehl"/>
          <w:spacing w:val="10"/>
          <w:sz w:val="22"/>
          <w:szCs w:val="28"/>
        </w:rPr>
      </w:pPr>
    </w:p>
    <w:p w14:paraId="0D224A42" w14:textId="362494ED" w:rsidR="0081114E" w:rsidRPr="00643EF4" w:rsidRDefault="0081114E" w:rsidP="0081114E">
      <w:pPr>
        <w:pStyle w:val="Ruller4"/>
        <w:rPr>
          <w:sz w:val="28"/>
        </w:rPr>
      </w:pPr>
      <w:r w:rsidRPr="00643EF4">
        <w:rPr>
          <w:rFonts w:hint="cs"/>
          <w:sz w:val="28"/>
          <w:rtl/>
        </w:rPr>
        <w:t xml:space="preserve">הממשלה והכנסת הפנו בהקשר זה להחלטה של בית הדין האירופי לזכויות אדם בעניין </w:t>
      </w:r>
      <w:r w:rsidRPr="00643EF4">
        <w:rPr>
          <w:rFonts w:cs="Miriam" w:hint="cs"/>
          <w:b/>
          <w:szCs w:val="24"/>
          <w:rtl/>
        </w:rPr>
        <w:t>דמופולוס</w:t>
      </w:r>
      <w:r w:rsidRPr="00643EF4">
        <w:rPr>
          <w:rFonts w:hint="cs"/>
          <w:sz w:val="28"/>
          <w:rtl/>
        </w:rPr>
        <w:t xml:space="preserve"> (</w:t>
      </w:r>
      <w:r w:rsidRPr="00643EF4">
        <w:rPr>
          <w:rFonts w:ascii="Century" w:hAnsi="Century"/>
          <w:sz w:val="22"/>
          <w:szCs w:val="22"/>
        </w:rPr>
        <w:t>Demopulus v. Turkey, App. No. 46113/99, Eur. Ct. H.R (2010)</w:t>
      </w:r>
      <w:r w:rsidRPr="00643EF4">
        <w:rPr>
          <w:rFonts w:hint="cs"/>
          <w:sz w:val="28"/>
          <w:rtl/>
        </w:rPr>
        <w:t xml:space="preserve"> (להלן: </w:t>
      </w:r>
      <w:r w:rsidRPr="00643EF4">
        <w:rPr>
          <w:rFonts w:hint="cs"/>
          <w:rtl/>
        </w:rPr>
        <w:t>עניין</w:t>
      </w:r>
      <w:r w:rsidRPr="00643EF4">
        <w:rPr>
          <w:rFonts w:cs="Miriam" w:hint="cs"/>
          <w:szCs w:val="24"/>
          <w:rtl/>
        </w:rPr>
        <w:t xml:space="preserve"> דמופולוס</w:t>
      </w:r>
      <w:r w:rsidRPr="00643EF4">
        <w:rPr>
          <w:rFonts w:hint="cs"/>
          <w:sz w:val="28"/>
          <w:rtl/>
        </w:rPr>
        <w:t xml:space="preserve">)), </w:t>
      </w:r>
      <w:r w:rsidRPr="00643EF4">
        <w:rPr>
          <w:rFonts w:hint="cs"/>
          <w:rtl/>
        </w:rPr>
        <w:t xml:space="preserve">חוליה נוספת בשרשרת של הליכים משפטיים שעסקו בכיבוש הטורקי (בלשון בית הדין) של צפון קפריסין בשנת 1974. </w:t>
      </w:r>
      <w:r w:rsidRPr="00643EF4">
        <w:rPr>
          <w:rFonts w:hint="cs"/>
          <w:sz w:val="28"/>
          <w:rtl/>
        </w:rPr>
        <w:t xml:space="preserve">בעניין </w:t>
      </w:r>
      <w:r w:rsidRPr="00643EF4">
        <w:rPr>
          <w:rFonts w:cs="Miriam" w:hint="cs"/>
          <w:b/>
          <w:szCs w:val="24"/>
          <w:rtl/>
        </w:rPr>
        <w:t xml:space="preserve">דמופולוס </w:t>
      </w:r>
      <w:r w:rsidRPr="00643EF4">
        <w:rPr>
          <w:rFonts w:hint="cs"/>
          <w:sz w:val="28"/>
          <w:rtl/>
        </w:rPr>
        <w:t xml:space="preserve">נתקף הסדר הפיצויים שגובש על ידי הרפובליקה הטורקית של צפון קפריסין לפיצוי תושבי צפון קפריסין שגורשו לדרום האי והגישה לנכסיהם נשללה מהם. איני סבורה כי קביעות בית הדין בעניין </w:t>
      </w:r>
      <w:r w:rsidRPr="00643EF4">
        <w:rPr>
          <w:rFonts w:ascii="Century" w:hAnsi="Century" w:cs="Miriam" w:hint="cs"/>
          <w:b/>
          <w:sz w:val="22"/>
          <w:szCs w:val="24"/>
          <w:rtl/>
        </w:rPr>
        <w:t>דמופולוס</w:t>
      </w:r>
      <w:r w:rsidRPr="00643EF4">
        <w:rPr>
          <w:rFonts w:hint="cs"/>
          <w:sz w:val="28"/>
          <w:rtl/>
        </w:rPr>
        <w:t xml:space="preserve"> יש בהן כדי לתמוך בעמדת הממשלה והכנסת. ההחלטה בעניין </w:t>
      </w:r>
      <w:r w:rsidRPr="00643EF4">
        <w:rPr>
          <w:rFonts w:ascii="Century" w:hAnsi="Century" w:cs="Miriam" w:hint="cs"/>
          <w:b/>
          <w:sz w:val="22"/>
          <w:szCs w:val="24"/>
          <w:rtl/>
        </w:rPr>
        <w:t>דמופולוס</w:t>
      </w:r>
      <w:r w:rsidRPr="00643EF4">
        <w:rPr>
          <w:rFonts w:hint="cs"/>
          <w:sz w:val="28"/>
          <w:rtl/>
        </w:rPr>
        <w:t xml:space="preserve"> מיוסדת על כללי משפט זכויות האדם הבינלאומי, ולא על דיני התפיסה הלוחמתית החלים בענייננו. </w:t>
      </w:r>
      <w:r w:rsidRPr="00643EF4">
        <w:rPr>
          <w:rFonts w:hint="eastAsia"/>
          <w:sz w:val="28"/>
          <w:rtl/>
        </w:rPr>
        <w:t>היא</w:t>
      </w:r>
      <w:r w:rsidRPr="00643EF4">
        <w:rPr>
          <w:sz w:val="28"/>
          <w:rtl/>
        </w:rPr>
        <w:t xml:space="preserve"> </w:t>
      </w:r>
      <w:r w:rsidRPr="00643EF4">
        <w:rPr>
          <w:rFonts w:hint="eastAsia"/>
          <w:sz w:val="28"/>
          <w:rtl/>
        </w:rPr>
        <w:t>עוסקת</w:t>
      </w:r>
      <w:r w:rsidRPr="00643EF4">
        <w:rPr>
          <w:sz w:val="28"/>
          <w:rtl/>
        </w:rPr>
        <w:t xml:space="preserve"> </w:t>
      </w:r>
      <w:r w:rsidRPr="00643EF4">
        <w:rPr>
          <w:rFonts w:hint="eastAsia"/>
          <w:sz w:val="28"/>
          <w:rtl/>
        </w:rPr>
        <w:t>בעיקרה</w:t>
      </w:r>
      <w:r w:rsidRPr="00643EF4">
        <w:rPr>
          <w:sz w:val="28"/>
          <w:rtl/>
        </w:rPr>
        <w:t xml:space="preserve"> </w:t>
      </w:r>
      <w:r w:rsidRPr="00643EF4">
        <w:rPr>
          <w:rFonts w:hint="eastAsia"/>
          <w:sz w:val="28"/>
          <w:rtl/>
        </w:rPr>
        <w:t>בשאלת</w:t>
      </w:r>
      <w:r w:rsidRPr="00643EF4">
        <w:rPr>
          <w:sz w:val="28"/>
          <w:rtl/>
        </w:rPr>
        <w:t xml:space="preserve"> </w:t>
      </w:r>
      <w:r w:rsidRPr="00643EF4">
        <w:rPr>
          <w:rFonts w:hint="eastAsia"/>
          <w:sz w:val="28"/>
          <w:rtl/>
        </w:rPr>
        <w:t>קיומו</w:t>
      </w:r>
      <w:r w:rsidRPr="00643EF4">
        <w:rPr>
          <w:sz w:val="28"/>
          <w:rtl/>
        </w:rPr>
        <w:t xml:space="preserve"> </w:t>
      </w:r>
      <w:r w:rsidRPr="00643EF4">
        <w:rPr>
          <w:rFonts w:hint="eastAsia"/>
          <w:sz w:val="28"/>
          <w:rtl/>
        </w:rPr>
        <w:t>של</w:t>
      </w:r>
      <w:r w:rsidRPr="00643EF4">
        <w:rPr>
          <w:sz w:val="28"/>
          <w:rtl/>
        </w:rPr>
        <w:t xml:space="preserve"> </w:t>
      </w:r>
      <w:r w:rsidRPr="00643EF4">
        <w:rPr>
          <w:rFonts w:hint="eastAsia"/>
          <w:sz w:val="28"/>
          <w:rtl/>
        </w:rPr>
        <w:t>אפיק</w:t>
      </w:r>
      <w:r w:rsidRPr="00643EF4">
        <w:rPr>
          <w:sz w:val="28"/>
          <w:rtl/>
        </w:rPr>
        <w:t xml:space="preserve"> </w:t>
      </w:r>
      <w:r w:rsidRPr="00643EF4">
        <w:rPr>
          <w:rFonts w:hint="eastAsia"/>
          <w:sz w:val="28"/>
          <w:rtl/>
        </w:rPr>
        <w:t>משפטי</w:t>
      </w:r>
      <w:r w:rsidRPr="00643EF4">
        <w:rPr>
          <w:sz w:val="28"/>
          <w:rtl/>
        </w:rPr>
        <w:t xml:space="preserve"> </w:t>
      </w:r>
      <w:r w:rsidRPr="00643EF4">
        <w:rPr>
          <w:rFonts w:hint="eastAsia"/>
          <w:sz w:val="28"/>
          <w:rtl/>
        </w:rPr>
        <w:t>אחר</w:t>
      </w:r>
      <w:r w:rsidRPr="00643EF4">
        <w:rPr>
          <w:sz w:val="28"/>
          <w:rtl/>
        </w:rPr>
        <w:t xml:space="preserve"> </w:t>
      </w:r>
      <w:r w:rsidRPr="00643EF4">
        <w:rPr>
          <w:rFonts w:hint="eastAsia"/>
          <w:sz w:val="28"/>
          <w:rtl/>
        </w:rPr>
        <w:t>לבירור</w:t>
      </w:r>
      <w:r w:rsidRPr="00643EF4">
        <w:rPr>
          <w:sz w:val="28"/>
          <w:rtl/>
        </w:rPr>
        <w:t xml:space="preserve"> </w:t>
      </w:r>
      <w:r w:rsidRPr="00643EF4">
        <w:rPr>
          <w:rFonts w:hint="eastAsia"/>
          <w:sz w:val="28"/>
          <w:rtl/>
        </w:rPr>
        <w:t>השגות</w:t>
      </w:r>
      <w:r w:rsidRPr="00643EF4">
        <w:rPr>
          <w:rFonts w:hint="cs"/>
          <w:sz w:val="28"/>
          <w:rtl/>
        </w:rPr>
        <w:t xml:space="preserve"> העותרים, קרי ועדה </w:t>
      </w:r>
      <w:r w:rsidRPr="00643EF4">
        <w:rPr>
          <w:rFonts w:hint="cs"/>
          <w:rtl/>
        </w:rPr>
        <w:t xml:space="preserve">המורכבת מגורמים </w:t>
      </w:r>
      <w:r w:rsidRPr="00643EF4">
        <w:rPr>
          <w:rFonts w:hint="cs"/>
          <w:sz w:val="28"/>
          <w:rtl/>
        </w:rPr>
        <w:t xml:space="preserve">עצמאיים ובלתי-תלויים, שאינם נמנים עם אזרחי מי מהמדינות הנוגעות לסכסוך. הרכב זה, כך נקבע, נועד להבטיח את המקצועיות והאובייקטיביות של החלטותיה. כמו כן, הסדר הפיצויים שנקבע בעניין </w:t>
      </w:r>
      <w:r w:rsidRPr="00643EF4">
        <w:rPr>
          <w:rFonts w:ascii="Century" w:hAnsi="Century" w:cs="Miriam" w:hint="cs"/>
          <w:b/>
          <w:sz w:val="22"/>
          <w:szCs w:val="24"/>
          <w:rtl/>
        </w:rPr>
        <w:t xml:space="preserve">דמופולוס </w:t>
      </w:r>
      <w:r w:rsidRPr="00643EF4">
        <w:rPr>
          <w:rFonts w:hint="cs"/>
          <w:sz w:val="28"/>
          <w:rtl/>
        </w:rPr>
        <w:t>מבנה את שיקול דעת הוועדה לעניין הסעד ההולם בכל מקרה ומקרה על פי בדיקה פרטנית</w:t>
      </w:r>
      <w:r w:rsidRPr="00643EF4">
        <w:rPr>
          <w:rFonts w:ascii="Century" w:hAnsi="Century" w:hint="cs"/>
          <w:sz w:val="22"/>
          <w:rtl/>
        </w:rPr>
        <w:t>, וכן הוא מאפשר לוועדה שבוחנת את טענות הצדדים שיקול דעת באשר לאופן הפיצוי (השבה של המקרקעין, מתן מקרקעין חלופיים או פיצוי כספי).</w:t>
      </w:r>
      <w:r w:rsidRPr="00643EF4">
        <w:rPr>
          <w:rFonts w:hint="cs"/>
          <w:sz w:val="28"/>
          <w:rtl/>
        </w:rPr>
        <w:t xml:space="preserve"> </w:t>
      </w:r>
      <w:r w:rsidRPr="00643EF4">
        <w:rPr>
          <w:rFonts w:hint="cs"/>
          <w:rtl/>
        </w:rPr>
        <w:t xml:space="preserve">כל אלה אינם בנמצא בהסדר הקבוע בחוק ההסדרה. </w:t>
      </w:r>
    </w:p>
    <w:p w14:paraId="71BA381B" w14:textId="2A58FE85" w:rsidR="00FA0F3A" w:rsidRPr="00643EF4" w:rsidRDefault="00FA0F3A" w:rsidP="0081114E">
      <w:pPr>
        <w:tabs>
          <w:tab w:val="left" w:pos="800"/>
        </w:tabs>
        <w:spacing w:line="360" w:lineRule="auto"/>
        <w:jc w:val="both"/>
        <w:rPr>
          <w:rFonts w:ascii="Century" w:hAnsi="Century" w:cs="Miriam"/>
          <w:b/>
          <w:sz w:val="22"/>
          <w:rtl/>
        </w:rPr>
      </w:pPr>
    </w:p>
    <w:p w14:paraId="01D90CB4" w14:textId="77777777" w:rsidR="00FA0F3A" w:rsidRPr="00643EF4" w:rsidRDefault="00FA0F3A" w:rsidP="0081114E">
      <w:pPr>
        <w:tabs>
          <w:tab w:val="left" w:pos="800"/>
        </w:tabs>
        <w:spacing w:line="360" w:lineRule="auto"/>
        <w:jc w:val="both"/>
        <w:rPr>
          <w:rFonts w:ascii="Century" w:hAnsi="Century" w:cs="Miriam"/>
          <w:b/>
          <w:sz w:val="22"/>
          <w:rtl/>
        </w:rPr>
      </w:pPr>
    </w:p>
    <w:p w14:paraId="456E9B3E" w14:textId="77777777" w:rsidR="008212A2" w:rsidRPr="00643EF4" w:rsidRDefault="008212A2" w:rsidP="0081114E">
      <w:pPr>
        <w:tabs>
          <w:tab w:val="left" w:pos="800"/>
        </w:tabs>
        <w:spacing w:line="360" w:lineRule="auto"/>
        <w:jc w:val="both"/>
        <w:rPr>
          <w:rFonts w:ascii="Century" w:hAnsi="Century" w:cs="Miriam"/>
          <w:b/>
          <w:sz w:val="22"/>
          <w:rtl/>
        </w:rPr>
      </w:pPr>
    </w:p>
    <w:p w14:paraId="53E86648" w14:textId="77777777" w:rsidR="008212A2" w:rsidRPr="00643EF4" w:rsidRDefault="008212A2" w:rsidP="0081114E">
      <w:pPr>
        <w:tabs>
          <w:tab w:val="left" w:pos="800"/>
        </w:tabs>
        <w:spacing w:line="360" w:lineRule="auto"/>
        <w:jc w:val="both"/>
        <w:rPr>
          <w:rFonts w:ascii="Century" w:hAnsi="Century" w:cs="Miriam"/>
          <w:b/>
          <w:sz w:val="22"/>
          <w:rtl/>
        </w:rPr>
      </w:pPr>
    </w:p>
    <w:p w14:paraId="24A4194C" w14:textId="73671047" w:rsidR="0081114E" w:rsidRPr="00643EF4" w:rsidRDefault="0081114E" w:rsidP="0081114E">
      <w:pPr>
        <w:tabs>
          <w:tab w:val="left" w:pos="800"/>
        </w:tabs>
        <w:spacing w:line="360" w:lineRule="auto"/>
        <w:jc w:val="both"/>
        <w:rPr>
          <w:rFonts w:ascii="Century" w:hAnsi="Century" w:cs="Miriam"/>
          <w:b/>
          <w:sz w:val="22"/>
          <w:rtl/>
        </w:rPr>
      </w:pPr>
      <w:r w:rsidRPr="00643EF4">
        <w:rPr>
          <w:rFonts w:ascii="Century" w:hAnsi="Century" w:cs="Miriam" w:hint="cs"/>
          <w:b/>
          <w:sz w:val="22"/>
          <w:rtl/>
        </w:rPr>
        <w:t xml:space="preserve">מידתיות ב"מובן הצר" </w:t>
      </w:r>
      <w:r w:rsidRPr="00643EF4">
        <w:rPr>
          <w:rFonts w:ascii="Century" w:hAnsi="Century" w:cs="Miriam"/>
          <w:b/>
          <w:sz w:val="22"/>
          <w:rtl/>
        </w:rPr>
        <w:t>–</w:t>
      </w:r>
      <w:r w:rsidRPr="00643EF4">
        <w:rPr>
          <w:rFonts w:ascii="Century" w:hAnsi="Century" w:cs="Miriam" w:hint="cs"/>
          <w:b/>
          <w:sz w:val="22"/>
          <w:rtl/>
        </w:rPr>
        <w:t xml:space="preserve"> סיכום </w:t>
      </w:r>
    </w:p>
    <w:p w14:paraId="466B2FFB" w14:textId="77777777" w:rsidR="0081114E" w:rsidRPr="00643EF4" w:rsidRDefault="0081114E" w:rsidP="0081114E">
      <w:pPr>
        <w:tabs>
          <w:tab w:val="left" w:pos="800"/>
          <w:tab w:val="num" w:pos="10307"/>
        </w:tabs>
        <w:spacing w:line="360" w:lineRule="auto"/>
        <w:jc w:val="both"/>
        <w:rPr>
          <w:rFonts w:ascii="Arial TUR" w:hAnsi="Arial TUR" w:cs="FrankRuehl"/>
          <w:spacing w:val="10"/>
          <w:sz w:val="22"/>
          <w:szCs w:val="28"/>
          <w:rtl/>
        </w:rPr>
      </w:pPr>
    </w:p>
    <w:p w14:paraId="191C92F1" w14:textId="0D809BE8" w:rsidR="0081114E" w:rsidRPr="00643EF4" w:rsidRDefault="0081114E" w:rsidP="0081114E">
      <w:pPr>
        <w:pStyle w:val="Ruller4"/>
        <w:rPr>
          <w:rtl/>
        </w:rPr>
      </w:pPr>
      <w:r w:rsidRPr="00643EF4">
        <w:rPr>
          <w:rFonts w:hint="cs"/>
          <w:rtl/>
        </w:rPr>
        <w:t xml:space="preserve">מן הטעמים המפורטים לעיל, המסקנה היא כי הפגיעה הנגרמת לזכויות היא חמורה ומובהקת וכי אם בוחנים את "תוספת" התועלת שתושג מיישום החוק אל מול "תוספת" הנזק שתגרם לזכויות חוקתיות מיישומו, אני סבורה כי אין מנוס מן המסקנה שהחוק אינו צולח את מבחן המידתיות ב"מובן הצר". הרצון למצוא פתרון פשוט וכולל לבעיית הבנייה ביישובים הישראלים באזור לאחר שלאורך שנים תרמו הרשויות השונות להיווצרותה של מציאות זו, הוא מובן, ומניעת פינוי והריסת בתי מגורים שנבנו בתום לב ובאישור הרשויות המוסמכות היא תכלית ראויה וחשובה, אך אין בהם כדי להצדיק פגיעה כה משמעותית בזכות לקניין ובזכות לכבוד ולשוויון של האוכלוסייה הפלסטינית שעליה עמדנו לעיל. זאת ביחוד נוכח קיומם של אמצעים חלופיים שיש בהם כדי להגשים, גם אם לא באופן מלא, את התכלית האמורה ואת התועלת הציבורית הגלומה בה. מבלי להידרש לטיבו של כל פתרון שהוצג על ידי היועץ המשפטי לממשלה ולפתרונות אפשריים אחרים וכן מבלי לקבוע מסמרות באשר לשאלת תחולת ההסדרים האמורים ואופן יישומם, ניתן לומר כי הכלים המשפטיים הקיימים בדין האזור עשויים ליתן במידה לא מבוטלת מענה לתכלית הראויה שביסוד חוק ההסדרה, תוך פגיעה פחותה בזכות הקניין ובזכות לשוויון. כמו כן, וכפי שהדגיש היועץ המשפטי לממשלה בטיעוניו, פרט לכלים המשפטיים הקבועים בדין החל באזור, יש ליתן משקל ראוי לעובדה שעל פי מדיניותה הנוכחית של הממשלה, מקום שבו ניתן להסדיר במישור הקנייני והתכנוני התיישבות ישראלית שהוקמה שלא כדין על מקרקעין שהם רכוש ממשלתי, ניתנת עדיפות לקידום פתרון זה על פני פינוי והריסה. עוד ציין היועץ כי, הלכה למעשה, במקרים רבים פועלות הרשויות הישראליות לפנים משורת הדין כדי למצוא פתרונות אפקטיביים לתושבים ישראלים שנקבע לגביהם שעליהם לפנות את בתיהם, וכי במשרד המשפטים ובמשרד ראש הממשלה הוקמו צוותים ייעודיים שבוחנים פתרונות משפטיים שונים בהקשר זה הכוללים, בין היתר, מציאת פתרון מגורים חלופי ובמצבים מסוימים </w:t>
      </w:r>
      <w:r w:rsidRPr="00643EF4">
        <w:rPr>
          <w:rtl/>
        </w:rPr>
        <w:t>–</w:t>
      </w:r>
      <w:r w:rsidRPr="00643EF4">
        <w:rPr>
          <w:rFonts w:hint="cs"/>
          <w:rtl/>
        </w:rPr>
        <w:t xml:space="preserve"> כפי שציין היועץ ומבלי לקבוע מסמרות בדבר </w:t>
      </w:r>
      <w:r w:rsidRPr="00643EF4">
        <w:rPr>
          <w:rtl/>
        </w:rPr>
        <w:t>–</w:t>
      </w:r>
      <w:r w:rsidRPr="00643EF4">
        <w:rPr>
          <w:rFonts w:hint="cs"/>
          <w:rtl/>
        </w:rPr>
        <w:t xml:space="preserve"> בהחלט ייתכן כי הרשויות הישראליות עשויות לחוב באחריות נזיקית כלפי המפונים. </w:t>
      </w:r>
    </w:p>
    <w:p w14:paraId="783DEA75" w14:textId="77777777" w:rsidR="0081114E" w:rsidRPr="00643EF4" w:rsidRDefault="0081114E" w:rsidP="0081114E">
      <w:pPr>
        <w:tabs>
          <w:tab w:val="left" w:pos="800"/>
        </w:tabs>
        <w:spacing w:line="360" w:lineRule="auto"/>
        <w:jc w:val="both"/>
        <w:rPr>
          <w:rFonts w:ascii="Arial TUR" w:hAnsi="Arial TUR" w:cs="FrankRuehl"/>
          <w:spacing w:val="10"/>
          <w:sz w:val="22"/>
          <w:szCs w:val="28"/>
          <w:rtl/>
        </w:rPr>
      </w:pPr>
    </w:p>
    <w:p w14:paraId="7A589292" w14:textId="1263D3CC" w:rsidR="0081114E" w:rsidRPr="00643EF4" w:rsidRDefault="0081114E" w:rsidP="0081114E">
      <w:pPr>
        <w:pStyle w:val="Ruller4"/>
        <w:rPr>
          <w:rtl/>
        </w:rPr>
      </w:pPr>
      <w:r w:rsidRPr="00643EF4">
        <w:rPr>
          <w:rFonts w:hint="cs"/>
          <w:rtl/>
        </w:rPr>
        <w:t xml:space="preserve">סיכומם של דברים: הערכת המידתיות ב"מובן הצר" ככל שהיא נוגעת להסדרים הקבועים בחוק ההסדרה על שני מסלוליו, וכן השוואת הסדרים אלה להסדרים קרובים בדין הישראלי ובדין החל באזור, מלמדת כי מדובר במנגנון גורף שאין בו ביטוי ראוי למכלול השיקולים הרלוונטיים לעניין, ואשר נזקו עולה על תועלתו. </w:t>
      </w:r>
    </w:p>
    <w:p w14:paraId="32FBE5D9" w14:textId="77777777" w:rsidR="0081114E" w:rsidRPr="00643EF4" w:rsidRDefault="0081114E" w:rsidP="0081114E">
      <w:pPr>
        <w:tabs>
          <w:tab w:val="left" w:pos="800"/>
        </w:tabs>
        <w:spacing w:line="360" w:lineRule="auto"/>
        <w:jc w:val="both"/>
        <w:rPr>
          <w:rFonts w:ascii="Arial TUR" w:hAnsi="Arial TUR" w:cs="FrankRuehl"/>
          <w:spacing w:val="10"/>
          <w:sz w:val="22"/>
          <w:szCs w:val="28"/>
        </w:rPr>
      </w:pPr>
    </w:p>
    <w:p w14:paraId="04AD8496" w14:textId="77777777" w:rsidR="0081114E" w:rsidRPr="00643EF4" w:rsidRDefault="0081114E" w:rsidP="0081114E">
      <w:pPr>
        <w:tabs>
          <w:tab w:val="left" w:pos="800"/>
        </w:tabs>
        <w:spacing w:line="360" w:lineRule="auto"/>
        <w:jc w:val="both"/>
        <w:rPr>
          <w:rFonts w:ascii="Garamond" w:hAnsi="Garamond" w:cs="FrankRuehl"/>
          <w:spacing w:val="10"/>
          <w:sz w:val="24"/>
          <w:szCs w:val="28"/>
        </w:rPr>
      </w:pPr>
      <w:r w:rsidRPr="00643EF4">
        <w:rPr>
          <w:rFonts w:ascii="Garamond" w:hAnsi="Garamond" w:cs="FrankRuehl"/>
          <w:spacing w:val="10"/>
          <w:sz w:val="24"/>
          <w:szCs w:val="28"/>
          <w:rtl/>
        </w:rPr>
        <w:tab/>
      </w:r>
      <w:r w:rsidRPr="00643EF4">
        <w:rPr>
          <w:rFonts w:ascii="Garamond" w:hAnsi="Garamond" w:cs="FrankRuehl" w:hint="cs"/>
          <w:spacing w:val="10"/>
          <w:sz w:val="24"/>
          <w:szCs w:val="28"/>
          <w:rtl/>
        </w:rPr>
        <w:t>על כן, החוק אינו עומד במבחן המידתיות ב"מובן הצר".</w:t>
      </w:r>
    </w:p>
    <w:p w14:paraId="3CA89681" w14:textId="5A0A11AF" w:rsidR="0081114E" w:rsidRPr="00643EF4" w:rsidRDefault="0081114E" w:rsidP="000E5D20">
      <w:pPr>
        <w:pStyle w:val="Ruller41"/>
        <w:rPr>
          <w:rFonts w:ascii="Century" w:hAnsi="Century" w:cs="Miriam"/>
          <w:b/>
          <w:spacing w:val="0"/>
          <w:szCs w:val="24"/>
          <w:rtl/>
        </w:rPr>
      </w:pPr>
    </w:p>
    <w:p w14:paraId="5C03C982" w14:textId="77777777" w:rsidR="000E5D20" w:rsidRPr="00643EF4" w:rsidRDefault="000E5D20" w:rsidP="000E5D20">
      <w:pPr>
        <w:pStyle w:val="Ruller41"/>
        <w:rPr>
          <w:rFonts w:ascii="Century" w:hAnsi="Century" w:cs="Miriam"/>
          <w:b/>
          <w:spacing w:val="0"/>
          <w:szCs w:val="24"/>
          <w:rtl/>
        </w:rPr>
      </w:pPr>
      <w:r w:rsidRPr="00643EF4">
        <w:rPr>
          <w:rFonts w:ascii="Century" w:hAnsi="Century" w:cs="Miriam" w:hint="cs"/>
          <w:b/>
          <w:spacing w:val="0"/>
          <w:szCs w:val="24"/>
          <w:rtl/>
        </w:rPr>
        <w:t>סוף דבר</w:t>
      </w:r>
    </w:p>
    <w:p w14:paraId="18565FC3" w14:textId="77777777" w:rsidR="000E5D20" w:rsidRPr="00643EF4" w:rsidRDefault="000E5D20" w:rsidP="000E5D20">
      <w:pPr>
        <w:pStyle w:val="Ruller41"/>
        <w:rPr>
          <w:rFonts w:ascii="Century" w:hAnsi="Century" w:cs="Miriam"/>
          <w:b/>
          <w:spacing w:val="0"/>
          <w:szCs w:val="24"/>
          <w:rtl/>
        </w:rPr>
      </w:pPr>
    </w:p>
    <w:p w14:paraId="44A48605" w14:textId="77777777" w:rsidR="000E5D20" w:rsidRPr="00643EF4" w:rsidRDefault="000E5D20" w:rsidP="000E5D20">
      <w:pPr>
        <w:pStyle w:val="Ruller4"/>
        <w:tabs>
          <w:tab w:val="num" w:pos="10307"/>
        </w:tabs>
      </w:pPr>
      <w:r w:rsidRPr="00643EF4">
        <w:rPr>
          <w:rFonts w:hint="cs"/>
          <w:rtl/>
        </w:rPr>
        <w:lastRenderedPageBreak/>
        <w:t>חוק ההסדרה מבקש להכשיר בדיעבד מעשים בלתי חוקיים שבוצעו על ידי אוכלוסייה מסוימת באזור תוך פגיעה בזכויותיה של אוכלוסייה אחרת, וזאת בשטח הנתון בתפיסה לוחמתית. אין מדובר בהסדר שהוא "עיוור" לקבוצת הניזוקים שיפגעו מיישומו אלא בהסדר הפוגע ביודעין ובאופן בלתי שוויוני בזכות הקניין של תושבי האזור הפלסטינים בלבד והוא מעניק בכורה לאינטרסים הקנייניים של המתיישבים הישראלים, ללא כל בחינה פרטנית ו</w:t>
      </w:r>
      <w:r w:rsidRPr="00643EF4">
        <w:rPr>
          <w:rFonts w:ascii="Century" w:hAnsi="Century" w:hint="cs"/>
          <w:sz w:val="22"/>
          <w:rtl/>
        </w:rPr>
        <w:t>מבלי ליתן</w:t>
      </w:r>
      <w:r w:rsidRPr="00643EF4">
        <w:rPr>
          <w:rFonts w:hint="cs"/>
          <w:rtl/>
        </w:rPr>
        <w:t xml:space="preserve"> משקל מספק למעמדם המיוחד של תושבי האזור הפלסטינים כ"תושבים מוגנים" </w:t>
      </w:r>
      <w:r w:rsidRPr="00643EF4">
        <w:rPr>
          <w:rFonts w:ascii="Arial TUR" w:hAnsi="Arial TUR" w:hint="cs"/>
          <w:rtl/>
        </w:rPr>
        <w:t xml:space="preserve">(השוו לעניין </w:t>
      </w:r>
      <w:r w:rsidRPr="00643EF4">
        <w:rPr>
          <w:rFonts w:ascii="Century" w:hAnsi="Century" w:cs="Miriam" w:hint="cs"/>
          <w:b/>
          <w:spacing w:val="0"/>
          <w:sz w:val="22"/>
          <w:szCs w:val="24"/>
          <w:rtl/>
        </w:rPr>
        <w:t>חוף עזה</w:t>
      </w:r>
      <w:r w:rsidRPr="00643EF4">
        <w:rPr>
          <w:rFonts w:ascii="Century" w:hAnsi="Century" w:hint="cs"/>
          <w:sz w:val="22"/>
          <w:rtl/>
        </w:rPr>
        <w:t xml:space="preserve">, בעמ' 584; עניין </w:t>
      </w:r>
      <w:r w:rsidRPr="00643EF4">
        <w:rPr>
          <w:rFonts w:ascii="Century" w:hAnsi="Century" w:cs="Miriam" w:hint="cs"/>
          <w:b/>
          <w:spacing w:val="0"/>
          <w:sz w:val="22"/>
          <w:szCs w:val="24"/>
          <w:rtl/>
        </w:rPr>
        <w:t>מראעבה</w:t>
      </w:r>
      <w:r w:rsidRPr="00643EF4">
        <w:rPr>
          <w:rFonts w:ascii="Century" w:hAnsi="Century" w:hint="cs"/>
          <w:sz w:val="22"/>
          <w:rtl/>
        </w:rPr>
        <w:t>, בעמ' 501)</w:t>
      </w:r>
      <w:r w:rsidRPr="00643EF4">
        <w:rPr>
          <w:rFonts w:hint="cs"/>
          <w:rtl/>
        </w:rPr>
        <w:t xml:space="preserve">. </w:t>
      </w:r>
    </w:p>
    <w:p w14:paraId="76B640E9" w14:textId="77777777" w:rsidR="000E5D20" w:rsidRPr="00643EF4" w:rsidRDefault="000E5D20" w:rsidP="000E5D20">
      <w:pPr>
        <w:pStyle w:val="Ruller4"/>
        <w:numPr>
          <w:ilvl w:val="0"/>
          <w:numId w:val="0"/>
        </w:numPr>
        <w:rPr>
          <w:rFonts w:ascii="Century" w:hAnsi="Century"/>
          <w:sz w:val="22"/>
          <w:rtl/>
        </w:rPr>
      </w:pPr>
    </w:p>
    <w:p w14:paraId="48E51558" w14:textId="77777777" w:rsidR="000E5D20" w:rsidRPr="00643EF4" w:rsidRDefault="000E5D20" w:rsidP="000E5D20">
      <w:pPr>
        <w:pStyle w:val="Ruller4"/>
        <w:numPr>
          <w:ilvl w:val="0"/>
          <w:numId w:val="0"/>
        </w:numPr>
        <w:rPr>
          <w:rtl/>
        </w:rPr>
      </w:pPr>
      <w:r w:rsidRPr="00643EF4">
        <w:rPr>
          <w:rFonts w:ascii="Century" w:hAnsi="Century"/>
          <w:sz w:val="22"/>
          <w:rtl/>
        </w:rPr>
        <w:tab/>
      </w:r>
      <w:r w:rsidRPr="00643EF4">
        <w:rPr>
          <w:rFonts w:ascii="Century" w:hAnsi="Century" w:hint="cs"/>
          <w:sz w:val="22"/>
          <w:rtl/>
        </w:rPr>
        <w:t xml:space="preserve">נוכח פגיעה מובהקת זו שפוגע החוק בזכות לקניין ובזכות לשוויון של תושבי האזור הפלסטינים, נדרשנו לבחינת חוקתיותו על פי מבחני פסקת ההגבלה שבסעיף 8 לחוק יסוד: כבוד האדם וחירותו. בחינה זו העלתה כי מבין תכליותיו המרכזיות של החוק, ניתן לראות </w:t>
      </w:r>
      <w:r w:rsidRPr="00643EF4">
        <w:rPr>
          <w:rFonts w:hint="cs"/>
          <w:rtl/>
        </w:rPr>
        <w:t xml:space="preserve">כתכלית ראויה את התכלית הנוגעת לצורך במציאת פתרון למתיישבים אשר בנו את בתיהם באזור בתום לב ובהסתמך על מצגי רשויות המדינה המוסמכות, ואשר לימים התברר כי בנו על מקרקעין שאינם "רכוש ממשלתי". הוספנו ובחנו את הוראות החוק על פי מבחני המידתיות שבפסקת ההגבלה ומצאנו כי בהיבט של מבחן ה"קשר הרציונלי", האמצעי שמשמעותו נטילה גורפת של זכויות השימוש והחזקה במקרקעין וכן ההכרזה עליהם כעל "רכוש ממשלתי", מעוררים קושי. כמו כן, נבחנו האמצעים החלופיים שניתן לנקוט בהם בנסיבות העניין לצורך השגת התכלית הראויה שצוינה. אף שלא מצאנו כי יש להורות על בטלות החוק בשל קיומו של אמצעי חלופי שפגיעתו פחותה, סברנו כי קיומם של אמצעים חלופיים כאלה יש לו משמעות לצורך מבחן המשנה השלישי </w:t>
      </w:r>
      <w:r w:rsidRPr="00643EF4">
        <w:rPr>
          <w:rtl/>
        </w:rPr>
        <w:t>–</w:t>
      </w:r>
      <w:r w:rsidRPr="00643EF4">
        <w:rPr>
          <w:rFonts w:hint="cs"/>
          <w:rtl/>
        </w:rPr>
        <w:t xml:space="preserve"> המידתיות במובן הצר </w:t>
      </w:r>
      <w:r w:rsidRPr="00643EF4">
        <w:rPr>
          <w:rtl/>
        </w:rPr>
        <w:t>–</w:t>
      </w:r>
      <w:r w:rsidRPr="00643EF4">
        <w:rPr>
          <w:rFonts w:hint="cs"/>
          <w:rtl/>
        </w:rPr>
        <w:t xml:space="preserve"> וככל שהדבר נוגע למבחן האמור, אין מנוס מן המסקנה כי התועלת הצומחת מן הפגיעה אינה עולה על הנזק שייגרם לזכויות החוקתיות בעקבות החוק. </w:t>
      </w:r>
    </w:p>
    <w:p w14:paraId="17709DA0" w14:textId="77777777" w:rsidR="000E5D20" w:rsidRPr="00643EF4" w:rsidRDefault="000E5D20" w:rsidP="000E5D20">
      <w:pPr>
        <w:pStyle w:val="Ruller41"/>
      </w:pPr>
    </w:p>
    <w:p w14:paraId="565BAFA2" w14:textId="02A4AAD3" w:rsidR="000E5D20" w:rsidRPr="00643EF4" w:rsidRDefault="000E5D20" w:rsidP="006A01A2">
      <w:pPr>
        <w:pStyle w:val="Ruller4"/>
        <w:tabs>
          <w:tab w:val="num" w:pos="10307"/>
        </w:tabs>
        <w:rPr>
          <w:rFonts w:ascii="Century" w:hAnsi="Century"/>
          <w:sz w:val="22"/>
          <w:rtl/>
        </w:rPr>
      </w:pPr>
      <w:r w:rsidRPr="00643EF4">
        <w:rPr>
          <w:rFonts w:hint="cs"/>
          <w:rtl/>
        </w:rPr>
        <w:t xml:space="preserve">נוכח המסקנה כי החוק אינו צולח את מבחן המידתיות ועל כן אינו חוקתי, אציע לחבריי כי יינתן צו מוחלט בעתירות בבג"ץ 1308/17 ובבג"ץ 2055/17 המורה כי החוק בטל מטעם זה. ממילא תתבטלנה גם ההוראות הנוגעות לרישום, נטילה והקצאה של זכויות שיישומן הוקפא על פי צו הביניים מיום 17.8.2017. כפועל היוצא מביטול החוק, בטלה גם התליית </w:t>
      </w:r>
      <w:r w:rsidRPr="00643EF4">
        <w:rPr>
          <w:rStyle w:val="default"/>
          <w:rFonts w:ascii="Century" w:hAnsi="Century" w:hint="cs"/>
          <w:sz w:val="22"/>
          <w:rtl/>
        </w:rPr>
        <w:t xml:space="preserve">הליכי האכיפה והצווים המינהליים </w:t>
      </w:r>
      <w:r w:rsidRPr="00643EF4">
        <w:rPr>
          <w:rFonts w:hint="cs"/>
          <w:rtl/>
        </w:rPr>
        <w:t>הקבועה בסעיפים 7 ו-</w:t>
      </w:r>
      <w:r w:rsidRPr="00643EF4">
        <w:rPr>
          <w:rFonts w:ascii="Century" w:hAnsi="Century" w:hint="cs"/>
          <w:sz w:val="22"/>
          <w:rtl/>
        </w:rPr>
        <w:t xml:space="preserve">11 לחוק, אך ככל שהדבר נוגע לאותם הליכים אציע כי </w:t>
      </w:r>
      <w:r w:rsidRPr="00643EF4">
        <w:rPr>
          <w:rStyle w:val="default"/>
          <w:rFonts w:ascii="Century" w:hAnsi="Century" w:hint="cs"/>
          <w:sz w:val="22"/>
          <w:rtl/>
        </w:rPr>
        <w:t xml:space="preserve">ביטול ההתליה על פי סעיפים אלה יושעה למשך 90 יום ממועד מתן פסק הדין, על מנת לאפשר לגורמים הרלוונטיים להיערך (השוו עניין </w:t>
      </w:r>
      <w:r w:rsidRPr="00643EF4">
        <w:rPr>
          <w:rStyle w:val="default"/>
          <w:rFonts w:ascii="Century" w:hAnsi="Century" w:cs="Miriam" w:hint="cs"/>
          <w:b/>
          <w:spacing w:val="0"/>
          <w:sz w:val="22"/>
          <w:szCs w:val="24"/>
          <w:rtl/>
        </w:rPr>
        <w:t>איתן</w:t>
      </w:r>
      <w:r w:rsidRPr="00643EF4">
        <w:rPr>
          <w:rStyle w:val="default"/>
          <w:rFonts w:ascii="Century" w:hAnsi="Century" w:hint="cs"/>
          <w:sz w:val="22"/>
          <w:rtl/>
        </w:rPr>
        <w:t xml:space="preserve">, פסקה 189 לחוות דעתו של השופט </w:t>
      </w:r>
      <w:r w:rsidRPr="00643EF4">
        <w:rPr>
          <w:rStyle w:val="default"/>
          <w:rFonts w:ascii="Century" w:hAnsi="Century" w:cs="Miriam" w:hint="cs"/>
          <w:b/>
          <w:spacing w:val="0"/>
          <w:sz w:val="22"/>
          <w:szCs w:val="24"/>
          <w:rtl/>
        </w:rPr>
        <w:t>ע' פוגלמן</w:t>
      </w:r>
      <w:r w:rsidRPr="00643EF4">
        <w:rPr>
          <w:rStyle w:val="default"/>
          <w:rFonts w:ascii="Century" w:hAnsi="Century" w:hint="cs"/>
          <w:sz w:val="22"/>
          <w:rtl/>
        </w:rPr>
        <w:t xml:space="preserve">; </w:t>
      </w:r>
      <w:r w:rsidRPr="00643EF4">
        <w:rPr>
          <w:rFonts w:ascii="Century" w:hAnsi="Century" w:hint="cs"/>
          <w:sz w:val="22"/>
          <w:rtl/>
        </w:rPr>
        <w:t xml:space="preserve">בג"ץ 6055/95 </w:t>
      </w:r>
      <w:r w:rsidRPr="00643EF4">
        <w:rPr>
          <w:rFonts w:ascii="Century" w:hAnsi="Century" w:cs="Miriam" w:hint="cs"/>
          <w:b/>
          <w:spacing w:val="0"/>
          <w:sz w:val="22"/>
          <w:szCs w:val="24"/>
          <w:rtl/>
        </w:rPr>
        <w:t>צמח נ' הפרקליט הצבאי הראשי</w:t>
      </w:r>
      <w:r w:rsidRPr="00643EF4">
        <w:rPr>
          <w:rFonts w:ascii="Century" w:hAnsi="Century" w:hint="cs"/>
          <w:sz w:val="22"/>
          <w:rtl/>
        </w:rPr>
        <w:t xml:space="preserve">, פ"ד נג(5) 241, 284 (1999)). לבסוף, </w:t>
      </w:r>
      <w:r w:rsidRPr="00643EF4">
        <w:rPr>
          <w:rFonts w:hint="cs"/>
          <w:rtl/>
        </w:rPr>
        <w:t>אציע כי הממשלה והמועצה האזורית מטה בנימין יישאו בהוצאות העותרים ובשכר טרחת עו"ד בסך 30,000 ש"ח, בכל אחת מן העתירות.</w:t>
      </w:r>
    </w:p>
    <w:p w14:paraId="166DAFA6" w14:textId="2661832A" w:rsidR="000E5D20" w:rsidRPr="00643EF4" w:rsidRDefault="000E5D20" w:rsidP="000E5D20">
      <w:pPr>
        <w:pStyle w:val="Ruller41"/>
        <w:rPr>
          <w:rtl/>
        </w:rPr>
      </w:pPr>
    </w:p>
    <w:p w14:paraId="05F1A9AB" w14:textId="3317A9EB" w:rsidR="00857BCA" w:rsidRPr="00643EF4" w:rsidRDefault="00857BCA" w:rsidP="000E5D20">
      <w:pPr>
        <w:pStyle w:val="Ruller41"/>
        <w:rPr>
          <w:rtl/>
        </w:rPr>
      </w:pPr>
    </w:p>
    <w:tbl>
      <w:tblPr>
        <w:bidiVisual/>
        <w:tblW w:w="8363" w:type="dxa"/>
        <w:tblLook w:val="01E0" w:firstRow="1" w:lastRow="1" w:firstColumn="1" w:lastColumn="1" w:noHBand="0" w:noVBand="0"/>
      </w:tblPr>
      <w:tblGrid>
        <w:gridCol w:w="2786"/>
        <w:gridCol w:w="2787"/>
        <w:gridCol w:w="2790"/>
      </w:tblGrid>
      <w:tr w:rsidR="00857BCA" w:rsidRPr="00643EF4" w14:paraId="68ADEAF1" w14:textId="77777777" w:rsidTr="00EA5DF0">
        <w:tc>
          <w:tcPr>
            <w:tcW w:w="2842" w:type="dxa"/>
            <w:hideMark/>
          </w:tcPr>
          <w:p w14:paraId="653720DB" w14:textId="77777777" w:rsidR="00857BCA" w:rsidRPr="00643EF4" w:rsidRDefault="00857BCA" w:rsidP="00EA5DF0">
            <w:pPr>
              <w:pStyle w:val="Ruller41"/>
            </w:pPr>
          </w:p>
        </w:tc>
        <w:tc>
          <w:tcPr>
            <w:tcW w:w="2843" w:type="dxa"/>
            <w:hideMark/>
          </w:tcPr>
          <w:p w14:paraId="0EF46B9F" w14:textId="77777777" w:rsidR="00857BCA" w:rsidRPr="00643EF4" w:rsidRDefault="00857BCA" w:rsidP="00EA5DF0">
            <w:pPr>
              <w:pStyle w:val="Ruller41"/>
              <w:jc w:val="center"/>
              <w:rPr>
                <w:rtl/>
              </w:rPr>
            </w:pPr>
          </w:p>
        </w:tc>
        <w:tc>
          <w:tcPr>
            <w:tcW w:w="2843" w:type="dxa"/>
            <w:hideMark/>
          </w:tcPr>
          <w:p w14:paraId="51D1621E" w14:textId="77777777" w:rsidR="00857BCA" w:rsidRPr="00643EF4" w:rsidRDefault="00857BCA" w:rsidP="00EA5DF0">
            <w:pPr>
              <w:pStyle w:val="Ruller41"/>
              <w:jc w:val="center"/>
              <w:rPr>
                <w:rtl/>
              </w:rPr>
            </w:pPr>
            <w:r w:rsidRPr="00643EF4">
              <w:rPr>
                <w:rFonts w:hint="cs"/>
                <w:rtl/>
              </w:rPr>
              <w:t xml:space="preserve">ה נ ש י א ה </w:t>
            </w:r>
            <w:r w:rsidRPr="00643EF4">
              <w:rPr>
                <w:rtl/>
              </w:rPr>
              <w:t xml:space="preserve"> </w:t>
            </w:r>
          </w:p>
        </w:tc>
      </w:tr>
    </w:tbl>
    <w:p w14:paraId="3242C305" w14:textId="48C160A0" w:rsidR="0062781A" w:rsidRPr="00643EF4" w:rsidRDefault="0062781A" w:rsidP="00857BCA">
      <w:pPr>
        <w:pStyle w:val="BODYVERDICT"/>
        <w:rPr>
          <w:rFonts w:cs="Miriam"/>
          <w:sz w:val="24"/>
          <w:szCs w:val="24"/>
          <w:u w:val="single"/>
          <w:rtl/>
        </w:rPr>
      </w:pPr>
    </w:p>
    <w:p w14:paraId="1BA977B8" w14:textId="77777777" w:rsidR="00857BCA" w:rsidRPr="00643EF4" w:rsidRDefault="00857BCA" w:rsidP="00857BCA">
      <w:pPr>
        <w:pStyle w:val="BODYVERDICT"/>
        <w:rPr>
          <w:rFonts w:cs="Miriam"/>
          <w:sz w:val="24"/>
          <w:szCs w:val="24"/>
          <w:u w:val="single"/>
          <w:rtl/>
        </w:rPr>
      </w:pPr>
    </w:p>
    <w:p w14:paraId="04AF4102" w14:textId="77777777" w:rsidR="00857BCA" w:rsidRPr="00643EF4" w:rsidRDefault="00857BCA" w:rsidP="00857BCA">
      <w:pPr>
        <w:pStyle w:val="BODYVERDICT"/>
        <w:rPr>
          <w:rFonts w:cs="Miriam"/>
          <w:sz w:val="24"/>
          <w:szCs w:val="24"/>
          <w:u w:val="single"/>
          <w:rtl/>
        </w:rPr>
      </w:pPr>
    </w:p>
    <w:p w14:paraId="6855F650" w14:textId="77777777" w:rsidR="000347BE" w:rsidRPr="00643EF4" w:rsidRDefault="000347BE" w:rsidP="000347BE">
      <w:pPr>
        <w:pStyle w:val="BODYVERDICT"/>
        <w:rPr>
          <w:rFonts w:cs="Miriam"/>
          <w:sz w:val="24"/>
          <w:szCs w:val="24"/>
          <w:u w:val="single"/>
          <w:rtl/>
        </w:rPr>
      </w:pPr>
      <w:r w:rsidRPr="00643EF4">
        <w:rPr>
          <w:rFonts w:cs="Miriam"/>
          <w:sz w:val="24"/>
          <w:szCs w:val="24"/>
          <w:u w:val="single"/>
          <w:rtl/>
        </w:rPr>
        <w:t>השופט ע' פוגלמן:</w:t>
      </w:r>
    </w:p>
    <w:p w14:paraId="44D74B88" w14:textId="77777777" w:rsidR="000347BE" w:rsidRPr="00643EF4" w:rsidRDefault="000347BE" w:rsidP="000347BE">
      <w:pPr>
        <w:pStyle w:val="BODYVERDICT"/>
        <w:rPr>
          <w:rFonts w:cs="Miriam"/>
          <w:sz w:val="24"/>
          <w:szCs w:val="24"/>
          <w:u w:val="single"/>
          <w:rtl/>
        </w:rPr>
      </w:pPr>
    </w:p>
    <w:p w14:paraId="12796C89" w14:textId="77777777" w:rsidR="000347BE" w:rsidRPr="00643EF4" w:rsidRDefault="000347BE" w:rsidP="000347BE">
      <w:pPr>
        <w:pStyle w:val="BODYVERDICT"/>
        <w:rPr>
          <w:rFonts w:cs="Miriam"/>
          <w:sz w:val="24"/>
          <w:szCs w:val="24"/>
          <w:u w:val="single"/>
          <w:rtl/>
        </w:rPr>
      </w:pPr>
    </w:p>
    <w:p w14:paraId="57458C39" w14:textId="77777777" w:rsidR="000347BE" w:rsidRPr="00643EF4" w:rsidRDefault="000347BE" w:rsidP="000347BE">
      <w:pPr>
        <w:pStyle w:val="BODYVERDICT"/>
        <w:rPr>
          <w:rFonts w:ascii="Century" w:hAnsi="Century"/>
          <w:rtl/>
        </w:rPr>
      </w:pPr>
      <w:r w:rsidRPr="00643EF4">
        <w:rPr>
          <w:rFonts w:ascii="Century" w:hAnsi="Century"/>
          <w:rtl/>
        </w:rPr>
        <w:tab/>
      </w:r>
      <w:r w:rsidRPr="00643EF4">
        <w:rPr>
          <w:rFonts w:ascii="Century" w:hAnsi="Century" w:hint="cs"/>
          <w:rtl/>
        </w:rPr>
        <w:t xml:space="preserve">אני מסכים לחוות דעתה המקיפה של חברתי הנשיאה </w:t>
      </w:r>
      <w:r w:rsidRPr="00643EF4">
        <w:rPr>
          <w:rFonts w:ascii="Century" w:hAnsi="Century" w:cs="Miriam" w:hint="cs"/>
          <w:b/>
          <w:spacing w:val="0"/>
          <w:szCs w:val="24"/>
          <w:rtl/>
        </w:rPr>
        <w:t>א' חיות</w:t>
      </w:r>
      <w:r w:rsidRPr="00643EF4">
        <w:rPr>
          <w:rFonts w:ascii="Century" w:hAnsi="Century" w:hint="cs"/>
          <w:rtl/>
        </w:rPr>
        <w:t>.</w:t>
      </w:r>
    </w:p>
    <w:p w14:paraId="22215959" w14:textId="2C669E00" w:rsidR="000347BE" w:rsidRPr="00643EF4" w:rsidRDefault="000347BE" w:rsidP="000347BE">
      <w:pPr>
        <w:pStyle w:val="BODYVERDICT"/>
        <w:rPr>
          <w:rFonts w:ascii="Century" w:hAnsi="Century"/>
          <w:rtl/>
        </w:rPr>
      </w:pPr>
    </w:p>
    <w:p w14:paraId="77C840E3" w14:textId="77777777" w:rsidR="000347BE" w:rsidRPr="00643EF4" w:rsidRDefault="000347BE" w:rsidP="000347BE">
      <w:pPr>
        <w:pStyle w:val="BODYVERDICT"/>
        <w:rPr>
          <w:rFonts w:ascii="Century" w:hAnsi="Century"/>
          <w:rtl/>
        </w:rPr>
      </w:pPr>
    </w:p>
    <w:p w14:paraId="746D81B9" w14:textId="77777777" w:rsidR="000347BE" w:rsidRPr="00643EF4" w:rsidRDefault="000347BE" w:rsidP="000347BE">
      <w:pPr>
        <w:pStyle w:val="BODYVERDICT"/>
        <w:rPr>
          <w:rFonts w:ascii="Century" w:hAnsi="Century"/>
          <w:rtl/>
        </w:rPr>
      </w:pPr>
    </w:p>
    <w:p w14:paraId="53580EFA" w14:textId="1D66C29F" w:rsidR="00857BCA" w:rsidRPr="00643EF4" w:rsidRDefault="00857BCA" w:rsidP="00591983">
      <w:pPr>
        <w:pStyle w:val="Ruller38"/>
        <w:rPr>
          <w:rtl/>
        </w:rPr>
      </w:pPr>
    </w:p>
    <w:tbl>
      <w:tblPr>
        <w:bidiVisual/>
        <w:tblW w:w="8363" w:type="dxa"/>
        <w:tblLook w:val="01E0" w:firstRow="1" w:lastRow="1" w:firstColumn="1" w:lastColumn="1" w:noHBand="0" w:noVBand="0"/>
      </w:tblPr>
      <w:tblGrid>
        <w:gridCol w:w="2786"/>
        <w:gridCol w:w="2787"/>
        <w:gridCol w:w="2790"/>
      </w:tblGrid>
      <w:tr w:rsidR="00857BCA" w:rsidRPr="00643EF4" w14:paraId="7E7817C0" w14:textId="77777777" w:rsidTr="00EA5DF0">
        <w:tc>
          <w:tcPr>
            <w:tcW w:w="2842" w:type="dxa"/>
            <w:hideMark/>
          </w:tcPr>
          <w:p w14:paraId="354D93D9" w14:textId="77777777" w:rsidR="00857BCA" w:rsidRPr="00643EF4" w:rsidRDefault="00857BCA" w:rsidP="00EA5DF0">
            <w:pPr>
              <w:pStyle w:val="Ruller41"/>
            </w:pPr>
          </w:p>
        </w:tc>
        <w:tc>
          <w:tcPr>
            <w:tcW w:w="2843" w:type="dxa"/>
            <w:hideMark/>
          </w:tcPr>
          <w:p w14:paraId="7C2DB08A" w14:textId="77777777" w:rsidR="00857BCA" w:rsidRPr="00643EF4" w:rsidRDefault="00857BCA" w:rsidP="00EA5DF0">
            <w:pPr>
              <w:pStyle w:val="Ruller41"/>
              <w:jc w:val="center"/>
              <w:rPr>
                <w:rtl/>
              </w:rPr>
            </w:pPr>
          </w:p>
        </w:tc>
        <w:tc>
          <w:tcPr>
            <w:tcW w:w="2843" w:type="dxa"/>
            <w:hideMark/>
          </w:tcPr>
          <w:p w14:paraId="7FDA8D9F" w14:textId="77777777" w:rsidR="00857BCA" w:rsidRPr="00643EF4" w:rsidRDefault="00857BCA" w:rsidP="00EA5DF0">
            <w:pPr>
              <w:pStyle w:val="Ruller41"/>
              <w:jc w:val="center"/>
              <w:rPr>
                <w:rtl/>
              </w:rPr>
            </w:pPr>
            <w:r w:rsidRPr="00643EF4">
              <w:rPr>
                <w:rtl/>
              </w:rPr>
              <w:t xml:space="preserve">ש ו פ ט </w:t>
            </w:r>
          </w:p>
        </w:tc>
      </w:tr>
    </w:tbl>
    <w:p w14:paraId="0A451B77" w14:textId="5CB24B3D" w:rsidR="00857BCA" w:rsidRPr="00643EF4" w:rsidRDefault="00857BCA" w:rsidP="00591983">
      <w:pPr>
        <w:pStyle w:val="Ruller38"/>
        <w:rPr>
          <w:rtl/>
        </w:rPr>
      </w:pPr>
    </w:p>
    <w:p w14:paraId="7D124E1C" w14:textId="77777777" w:rsidR="00857BCA" w:rsidRPr="00643EF4" w:rsidRDefault="00857BCA" w:rsidP="00857BCA">
      <w:pPr>
        <w:pStyle w:val="BODYVERDICT"/>
        <w:rPr>
          <w:rFonts w:cs="Miriam"/>
          <w:sz w:val="24"/>
          <w:szCs w:val="24"/>
          <w:u w:val="single"/>
          <w:rtl/>
        </w:rPr>
      </w:pPr>
    </w:p>
    <w:p w14:paraId="50C1FC52" w14:textId="77777777" w:rsidR="00857BCA" w:rsidRPr="00643EF4" w:rsidRDefault="00857BCA" w:rsidP="00857BCA">
      <w:pPr>
        <w:pStyle w:val="BODYVERDICT"/>
        <w:rPr>
          <w:rFonts w:cs="Miriam"/>
          <w:sz w:val="24"/>
          <w:szCs w:val="24"/>
          <w:u w:val="single"/>
          <w:rtl/>
        </w:rPr>
      </w:pPr>
    </w:p>
    <w:p w14:paraId="13634EC1" w14:textId="77777777" w:rsidR="00857BCA" w:rsidRPr="00643EF4" w:rsidRDefault="00857BCA" w:rsidP="00857BCA">
      <w:pPr>
        <w:pStyle w:val="BODYVERDICT"/>
        <w:rPr>
          <w:rFonts w:cs="Miriam"/>
          <w:sz w:val="24"/>
          <w:szCs w:val="24"/>
          <w:u w:val="single"/>
          <w:rtl/>
        </w:rPr>
      </w:pPr>
    </w:p>
    <w:p w14:paraId="01414130" w14:textId="77777777" w:rsidR="00857BCA" w:rsidRPr="00643EF4" w:rsidRDefault="00857BCA" w:rsidP="00857BCA">
      <w:pPr>
        <w:pStyle w:val="BODYVERDICT"/>
        <w:rPr>
          <w:rFonts w:cs="Miriam"/>
          <w:sz w:val="24"/>
          <w:szCs w:val="24"/>
          <w:u w:val="single"/>
          <w:rtl/>
        </w:rPr>
      </w:pPr>
    </w:p>
    <w:p w14:paraId="69218904" w14:textId="77777777" w:rsidR="00857BCA" w:rsidRPr="00643EF4" w:rsidRDefault="00857BCA" w:rsidP="00857BCA">
      <w:pPr>
        <w:pStyle w:val="BODYVERDICT"/>
        <w:rPr>
          <w:rFonts w:cs="Miriam"/>
          <w:sz w:val="24"/>
          <w:szCs w:val="24"/>
          <w:u w:val="single"/>
          <w:rtl/>
        </w:rPr>
      </w:pPr>
    </w:p>
    <w:p w14:paraId="4A0BA4A1" w14:textId="77777777" w:rsidR="0062781A" w:rsidRPr="00643EF4" w:rsidRDefault="0062781A" w:rsidP="0062781A">
      <w:pPr>
        <w:pStyle w:val="BODYVERDICT"/>
        <w:rPr>
          <w:rFonts w:cs="Miriam"/>
          <w:sz w:val="24"/>
          <w:szCs w:val="24"/>
          <w:u w:val="single"/>
          <w:rtl/>
        </w:rPr>
      </w:pPr>
      <w:r w:rsidRPr="00643EF4">
        <w:rPr>
          <w:rFonts w:cs="Miriam"/>
          <w:sz w:val="24"/>
          <w:szCs w:val="24"/>
          <w:u w:val="single"/>
          <w:rtl/>
        </w:rPr>
        <w:t>השופטת ע' ברון</w:t>
      </w:r>
      <w:r w:rsidRPr="00643EF4">
        <w:rPr>
          <w:rFonts w:cs="Miriam"/>
          <w:sz w:val="24"/>
          <w:szCs w:val="24"/>
          <w:rtl/>
        </w:rPr>
        <w:t>:</w:t>
      </w:r>
    </w:p>
    <w:p w14:paraId="3BB79B37" w14:textId="77777777" w:rsidR="0062781A" w:rsidRPr="00643EF4" w:rsidRDefault="0062781A" w:rsidP="0062781A">
      <w:pPr>
        <w:pStyle w:val="Ruller41"/>
        <w:rPr>
          <w:rtl/>
        </w:rPr>
      </w:pPr>
    </w:p>
    <w:p w14:paraId="29027606" w14:textId="77777777" w:rsidR="0062781A" w:rsidRPr="00643EF4" w:rsidRDefault="0062781A" w:rsidP="0062781A">
      <w:pPr>
        <w:pStyle w:val="Ruller41"/>
        <w:rPr>
          <w:rtl/>
        </w:rPr>
      </w:pPr>
      <w:r w:rsidRPr="00643EF4">
        <w:rPr>
          <w:rtl/>
        </w:rPr>
        <w:tab/>
      </w:r>
      <w:r w:rsidRPr="00643EF4">
        <w:rPr>
          <w:rFonts w:hint="cs"/>
          <w:rtl/>
        </w:rPr>
        <w:t xml:space="preserve">אני מצטרפת בהסכמה לחוות דעתה של חברתי הנשיאה </w:t>
      </w:r>
      <w:r w:rsidRPr="00643EF4">
        <w:rPr>
          <w:rFonts w:ascii="Century" w:hAnsi="Century" w:cs="Miriam" w:hint="cs"/>
          <w:b/>
          <w:spacing w:val="0"/>
          <w:szCs w:val="24"/>
          <w:rtl/>
        </w:rPr>
        <w:t>א' חיות</w:t>
      </w:r>
      <w:r w:rsidRPr="00643EF4">
        <w:rPr>
          <w:rFonts w:hint="cs"/>
          <w:rtl/>
        </w:rPr>
        <w:t xml:space="preserve">, לדרך הילוכה ולתוצאה שאליה הגיעה. </w:t>
      </w:r>
    </w:p>
    <w:p w14:paraId="5E76861D" w14:textId="77777777" w:rsidR="0062781A" w:rsidRPr="00643EF4" w:rsidRDefault="0062781A" w:rsidP="0062781A">
      <w:pPr>
        <w:pStyle w:val="Ruller41"/>
        <w:rPr>
          <w:rtl/>
        </w:rPr>
      </w:pPr>
    </w:p>
    <w:p w14:paraId="0B65054D" w14:textId="63302B7C" w:rsidR="00857BCA" w:rsidRPr="00643EF4" w:rsidRDefault="00857BCA" w:rsidP="00591983">
      <w:pPr>
        <w:pStyle w:val="Ruller38"/>
        <w:rPr>
          <w:rtl/>
        </w:rPr>
      </w:pPr>
    </w:p>
    <w:tbl>
      <w:tblPr>
        <w:bidiVisual/>
        <w:tblW w:w="8363" w:type="dxa"/>
        <w:tblLook w:val="01E0" w:firstRow="1" w:lastRow="1" w:firstColumn="1" w:lastColumn="1" w:noHBand="0" w:noVBand="0"/>
      </w:tblPr>
      <w:tblGrid>
        <w:gridCol w:w="2786"/>
        <w:gridCol w:w="2787"/>
        <w:gridCol w:w="2790"/>
      </w:tblGrid>
      <w:tr w:rsidR="00857BCA" w:rsidRPr="00643EF4" w14:paraId="26E9CD57" w14:textId="77777777" w:rsidTr="00EA5DF0">
        <w:tc>
          <w:tcPr>
            <w:tcW w:w="2786" w:type="dxa"/>
            <w:hideMark/>
          </w:tcPr>
          <w:p w14:paraId="5DC9ED94" w14:textId="77777777" w:rsidR="00857BCA" w:rsidRPr="00643EF4" w:rsidRDefault="00857BCA" w:rsidP="00EA5DF0">
            <w:pPr>
              <w:pStyle w:val="Ruller41"/>
            </w:pPr>
          </w:p>
        </w:tc>
        <w:tc>
          <w:tcPr>
            <w:tcW w:w="2787" w:type="dxa"/>
            <w:hideMark/>
          </w:tcPr>
          <w:p w14:paraId="26AC3C2E" w14:textId="77777777" w:rsidR="00857BCA" w:rsidRPr="00643EF4" w:rsidRDefault="00857BCA" w:rsidP="00EA5DF0">
            <w:pPr>
              <w:pStyle w:val="Ruller41"/>
              <w:jc w:val="center"/>
              <w:rPr>
                <w:rtl/>
              </w:rPr>
            </w:pPr>
          </w:p>
        </w:tc>
        <w:tc>
          <w:tcPr>
            <w:tcW w:w="2790" w:type="dxa"/>
            <w:hideMark/>
          </w:tcPr>
          <w:p w14:paraId="388D7C64" w14:textId="77777777" w:rsidR="00857BCA" w:rsidRPr="00643EF4" w:rsidRDefault="00857BCA" w:rsidP="00EA5DF0">
            <w:pPr>
              <w:pStyle w:val="Ruller41"/>
              <w:jc w:val="center"/>
              <w:rPr>
                <w:rtl/>
              </w:rPr>
            </w:pPr>
            <w:r w:rsidRPr="00643EF4">
              <w:rPr>
                <w:rtl/>
              </w:rPr>
              <w:t xml:space="preserve">ש ו פ ט </w:t>
            </w:r>
            <w:r w:rsidRPr="00643EF4">
              <w:rPr>
                <w:rFonts w:hint="cs"/>
                <w:rtl/>
              </w:rPr>
              <w:t>ת</w:t>
            </w:r>
          </w:p>
        </w:tc>
      </w:tr>
    </w:tbl>
    <w:p w14:paraId="4A011095" w14:textId="0940A82B" w:rsidR="00857BCA" w:rsidRPr="00643EF4" w:rsidRDefault="00857BCA" w:rsidP="00591983">
      <w:pPr>
        <w:pStyle w:val="Ruller38"/>
        <w:rPr>
          <w:rtl/>
        </w:rPr>
      </w:pPr>
    </w:p>
    <w:p w14:paraId="07F593C1" w14:textId="77777777" w:rsidR="00857BCA" w:rsidRPr="00643EF4" w:rsidRDefault="00857BCA" w:rsidP="00857BCA">
      <w:pPr>
        <w:pStyle w:val="BODYVERDICT"/>
        <w:rPr>
          <w:rFonts w:cs="Miriam"/>
          <w:sz w:val="24"/>
          <w:szCs w:val="24"/>
          <w:u w:val="single"/>
          <w:rtl/>
        </w:rPr>
      </w:pPr>
    </w:p>
    <w:p w14:paraId="491D5B67" w14:textId="77777777" w:rsidR="00857BCA" w:rsidRPr="00643EF4" w:rsidRDefault="00857BCA" w:rsidP="00857BCA">
      <w:pPr>
        <w:pStyle w:val="BODYVERDICT"/>
        <w:rPr>
          <w:rFonts w:cs="Miriam"/>
          <w:sz w:val="24"/>
          <w:szCs w:val="24"/>
          <w:u w:val="single"/>
          <w:rtl/>
        </w:rPr>
      </w:pPr>
    </w:p>
    <w:p w14:paraId="0D7DA55B" w14:textId="77777777" w:rsidR="00857BCA" w:rsidRPr="00643EF4" w:rsidRDefault="00857BCA" w:rsidP="00857BCA">
      <w:pPr>
        <w:pStyle w:val="BODYVERDICT"/>
        <w:rPr>
          <w:rFonts w:cs="Miriam"/>
          <w:sz w:val="24"/>
          <w:szCs w:val="24"/>
          <w:u w:val="single"/>
          <w:rtl/>
        </w:rPr>
      </w:pPr>
    </w:p>
    <w:p w14:paraId="590686C8" w14:textId="77777777" w:rsidR="00857BCA" w:rsidRPr="00643EF4" w:rsidRDefault="00857BCA" w:rsidP="00857BCA">
      <w:pPr>
        <w:pStyle w:val="BODYVERDICT"/>
        <w:rPr>
          <w:rFonts w:cs="Miriam"/>
          <w:sz w:val="24"/>
          <w:szCs w:val="24"/>
          <w:u w:val="single"/>
          <w:rtl/>
        </w:rPr>
      </w:pPr>
    </w:p>
    <w:p w14:paraId="0EAE9289" w14:textId="624DAD84" w:rsidR="00857BCA" w:rsidRPr="00643EF4" w:rsidRDefault="00857BCA" w:rsidP="00857BCA">
      <w:pPr>
        <w:pStyle w:val="BODYVERDICT"/>
        <w:rPr>
          <w:rFonts w:cs="Miriam"/>
          <w:sz w:val="24"/>
          <w:szCs w:val="24"/>
          <w:u w:val="single"/>
          <w:rtl/>
        </w:rPr>
      </w:pPr>
      <w:r w:rsidRPr="00643EF4">
        <w:rPr>
          <w:rFonts w:cs="Miriam"/>
          <w:sz w:val="24"/>
          <w:szCs w:val="24"/>
          <w:u w:val="single"/>
          <w:rtl/>
        </w:rPr>
        <w:t>השופט</w:t>
      </w:r>
      <w:r w:rsidRPr="00643EF4">
        <w:rPr>
          <w:rFonts w:cs="Miriam" w:hint="cs"/>
          <w:sz w:val="24"/>
          <w:szCs w:val="24"/>
          <w:u w:val="single"/>
          <w:rtl/>
        </w:rPr>
        <w:t xml:space="preserve"> מ' מזוז</w:t>
      </w:r>
      <w:r w:rsidRPr="00643EF4">
        <w:rPr>
          <w:rFonts w:cs="Miriam"/>
          <w:sz w:val="24"/>
          <w:szCs w:val="24"/>
          <w:rtl/>
        </w:rPr>
        <w:t>:</w:t>
      </w:r>
    </w:p>
    <w:p w14:paraId="447B5172" w14:textId="77777777" w:rsidR="00333662" w:rsidRPr="00643EF4" w:rsidRDefault="00333662" w:rsidP="00333662">
      <w:pPr>
        <w:pStyle w:val="Ruller41"/>
        <w:rPr>
          <w:rtl/>
        </w:rPr>
      </w:pPr>
    </w:p>
    <w:p w14:paraId="05F9F8DB" w14:textId="72B3A0A7" w:rsidR="00333662" w:rsidRPr="00643EF4" w:rsidRDefault="00333662" w:rsidP="00333662">
      <w:pPr>
        <w:pStyle w:val="Ruller41"/>
        <w:rPr>
          <w:rFonts w:ascii="Century" w:hAnsi="Century"/>
          <w:rtl/>
        </w:rPr>
      </w:pPr>
      <w:r w:rsidRPr="00643EF4">
        <w:rPr>
          <w:rtl/>
        </w:rPr>
        <w:tab/>
      </w:r>
      <w:r w:rsidRPr="00643EF4">
        <w:rPr>
          <w:rFonts w:hint="cs"/>
          <w:rtl/>
        </w:rPr>
        <w:t xml:space="preserve">אני מסכים לחוות-דעתה המקיפה ולמסקנותיה של חברתי הנשיאה </w:t>
      </w:r>
      <w:r w:rsidRPr="00643EF4">
        <w:rPr>
          <w:rFonts w:ascii="Century" w:hAnsi="Century" w:cs="Miriam" w:hint="cs"/>
          <w:b/>
          <w:spacing w:val="0"/>
          <w:szCs w:val="24"/>
          <w:rtl/>
        </w:rPr>
        <w:t>א' חיות</w:t>
      </w:r>
      <w:r w:rsidRPr="00643EF4">
        <w:rPr>
          <w:rFonts w:ascii="Century" w:hAnsi="Century" w:hint="cs"/>
          <w:rtl/>
        </w:rPr>
        <w:t>.</w:t>
      </w:r>
    </w:p>
    <w:p w14:paraId="6C4C42EA" w14:textId="70040C72" w:rsidR="00857BCA" w:rsidRPr="00643EF4" w:rsidRDefault="00857BCA" w:rsidP="00591983">
      <w:pPr>
        <w:pStyle w:val="Ruller38"/>
        <w:rPr>
          <w:rtl/>
        </w:rPr>
      </w:pPr>
    </w:p>
    <w:p w14:paraId="665E5810" w14:textId="0D6D7EAD" w:rsidR="00857BCA" w:rsidRPr="00643EF4" w:rsidRDefault="00857BCA" w:rsidP="00591983">
      <w:pPr>
        <w:pStyle w:val="Ruller38"/>
        <w:rPr>
          <w:rtl/>
        </w:rPr>
      </w:pPr>
    </w:p>
    <w:p w14:paraId="3CA16533" w14:textId="77777777" w:rsidR="00F12E7E" w:rsidRPr="00643EF4" w:rsidRDefault="00F12E7E" w:rsidP="00591983">
      <w:pPr>
        <w:pStyle w:val="Ruller38"/>
        <w:rPr>
          <w:rtl/>
        </w:rPr>
      </w:pPr>
    </w:p>
    <w:p w14:paraId="39F5FF47" w14:textId="7A8D902F" w:rsidR="00857BCA" w:rsidRPr="00643EF4" w:rsidRDefault="00857BCA" w:rsidP="00591983">
      <w:pPr>
        <w:pStyle w:val="Ruller38"/>
        <w:rPr>
          <w:rtl/>
        </w:rPr>
      </w:pPr>
    </w:p>
    <w:p w14:paraId="23E1664B" w14:textId="6B038BB5" w:rsidR="00857BCA" w:rsidRPr="00643EF4" w:rsidRDefault="00857BCA" w:rsidP="00591983">
      <w:pPr>
        <w:pStyle w:val="Ruller38"/>
        <w:rPr>
          <w:rtl/>
        </w:rPr>
      </w:pPr>
    </w:p>
    <w:tbl>
      <w:tblPr>
        <w:bidiVisual/>
        <w:tblW w:w="8363" w:type="dxa"/>
        <w:tblLook w:val="01E0" w:firstRow="1" w:lastRow="1" w:firstColumn="1" w:lastColumn="1" w:noHBand="0" w:noVBand="0"/>
      </w:tblPr>
      <w:tblGrid>
        <w:gridCol w:w="2786"/>
        <w:gridCol w:w="2787"/>
        <w:gridCol w:w="2790"/>
      </w:tblGrid>
      <w:tr w:rsidR="00857BCA" w:rsidRPr="00643EF4" w14:paraId="24FBB97F" w14:textId="77777777" w:rsidTr="00EA5DF0">
        <w:tc>
          <w:tcPr>
            <w:tcW w:w="2842" w:type="dxa"/>
            <w:hideMark/>
          </w:tcPr>
          <w:p w14:paraId="757F37A1" w14:textId="77777777" w:rsidR="00857BCA" w:rsidRPr="00643EF4" w:rsidRDefault="00857BCA" w:rsidP="00EA5DF0">
            <w:pPr>
              <w:pStyle w:val="Ruller41"/>
            </w:pPr>
          </w:p>
        </w:tc>
        <w:tc>
          <w:tcPr>
            <w:tcW w:w="2843" w:type="dxa"/>
            <w:hideMark/>
          </w:tcPr>
          <w:p w14:paraId="2C861240" w14:textId="77777777" w:rsidR="00857BCA" w:rsidRPr="00643EF4" w:rsidRDefault="00857BCA" w:rsidP="00EA5DF0">
            <w:pPr>
              <w:pStyle w:val="Ruller41"/>
              <w:jc w:val="center"/>
              <w:rPr>
                <w:rtl/>
              </w:rPr>
            </w:pPr>
          </w:p>
        </w:tc>
        <w:tc>
          <w:tcPr>
            <w:tcW w:w="2843" w:type="dxa"/>
            <w:hideMark/>
          </w:tcPr>
          <w:p w14:paraId="2E76F758" w14:textId="77777777" w:rsidR="00857BCA" w:rsidRPr="00643EF4" w:rsidRDefault="00857BCA" w:rsidP="00EA5DF0">
            <w:pPr>
              <w:pStyle w:val="Ruller41"/>
              <w:jc w:val="center"/>
              <w:rPr>
                <w:rtl/>
              </w:rPr>
            </w:pPr>
            <w:r w:rsidRPr="00643EF4">
              <w:rPr>
                <w:rtl/>
              </w:rPr>
              <w:t xml:space="preserve">ש ו פ ט </w:t>
            </w:r>
          </w:p>
        </w:tc>
      </w:tr>
    </w:tbl>
    <w:p w14:paraId="0213937F" w14:textId="2186735E" w:rsidR="00857BCA" w:rsidRPr="00643EF4" w:rsidRDefault="00857BCA" w:rsidP="00591983">
      <w:pPr>
        <w:pStyle w:val="Ruller38"/>
        <w:rPr>
          <w:rtl/>
        </w:rPr>
      </w:pPr>
    </w:p>
    <w:p w14:paraId="3E04A18F" w14:textId="55539B6B" w:rsidR="00857BCA" w:rsidRPr="00643EF4" w:rsidRDefault="00857BCA" w:rsidP="00591983">
      <w:pPr>
        <w:pStyle w:val="Ruller38"/>
        <w:rPr>
          <w:rtl/>
        </w:rPr>
      </w:pPr>
    </w:p>
    <w:p w14:paraId="037E3204" w14:textId="37B7D35D" w:rsidR="00857BCA" w:rsidRPr="00643EF4" w:rsidRDefault="00857BCA" w:rsidP="00591983">
      <w:pPr>
        <w:pStyle w:val="Ruller38"/>
        <w:rPr>
          <w:rtl/>
        </w:rPr>
      </w:pPr>
    </w:p>
    <w:p w14:paraId="22347858" w14:textId="60914985" w:rsidR="00857BCA" w:rsidRPr="00643EF4" w:rsidRDefault="00857BCA" w:rsidP="00591983">
      <w:pPr>
        <w:pStyle w:val="Ruller38"/>
        <w:rPr>
          <w:rtl/>
        </w:rPr>
      </w:pPr>
    </w:p>
    <w:p w14:paraId="40BE4F8E" w14:textId="77777777" w:rsidR="0062781A" w:rsidRPr="00643EF4" w:rsidRDefault="0062781A" w:rsidP="00591983">
      <w:pPr>
        <w:pStyle w:val="Ruller38"/>
        <w:rPr>
          <w:rtl/>
        </w:rPr>
      </w:pPr>
    </w:p>
    <w:p w14:paraId="45BF656A" w14:textId="77777777" w:rsidR="00857BCA" w:rsidRPr="00643EF4" w:rsidRDefault="00857BCA" w:rsidP="00591983">
      <w:pPr>
        <w:pStyle w:val="Ruller38"/>
        <w:rPr>
          <w:rtl/>
        </w:rPr>
      </w:pPr>
    </w:p>
    <w:p w14:paraId="0EC8F610" w14:textId="48306283" w:rsidR="00857BCA" w:rsidRPr="00643EF4" w:rsidRDefault="00857BCA" w:rsidP="00591983">
      <w:pPr>
        <w:pStyle w:val="Ruller38"/>
        <w:rPr>
          <w:rtl/>
        </w:rPr>
      </w:pPr>
    </w:p>
    <w:p w14:paraId="7AAC6F7D" w14:textId="77777777" w:rsidR="00333662" w:rsidRPr="00643EF4" w:rsidRDefault="00333662" w:rsidP="00333662">
      <w:pPr>
        <w:pStyle w:val="BODYVERDICT"/>
        <w:rPr>
          <w:rFonts w:cs="Miriam"/>
          <w:sz w:val="24"/>
          <w:szCs w:val="24"/>
          <w:u w:val="single"/>
          <w:rtl/>
        </w:rPr>
      </w:pPr>
      <w:r w:rsidRPr="00643EF4">
        <w:rPr>
          <w:rFonts w:cs="Miriam"/>
          <w:sz w:val="24"/>
          <w:szCs w:val="24"/>
          <w:u w:val="single"/>
          <w:rtl/>
        </w:rPr>
        <w:t>השופט י' עמית</w:t>
      </w:r>
      <w:r w:rsidRPr="00643EF4">
        <w:rPr>
          <w:rFonts w:cs="Miriam"/>
          <w:sz w:val="24"/>
          <w:szCs w:val="24"/>
          <w:rtl/>
        </w:rPr>
        <w:t>:</w:t>
      </w:r>
    </w:p>
    <w:p w14:paraId="443E065F" w14:textId="77777777" w:rsidR="00333662" w:rsidRPr="00643EF4" w:rsidRDefault="00333662" w:rsidP="00333662">
      <w:pPr>
        <w:pStyle w:val="Ruller41"/>
        <w:rPr>
          <w:rtl/>
        </w:rPr>
      </w:pPr>
    </w:p>
    <w:p w14:paraId="1A873D03" w14:textId="77777777" w:rsidR="00333662" w:rsidRPr="00643EF4" w:rsidRDefault="00333662" w:rsidP="00333662">
      <w:pPr>
        <w:pStyle w:val="Ruller41"/>
        <w:rPr>
          <w:rtl/>
        </w:rPr>
      </w:pPr>
    </w:p>
    <w:p w14:paraId="513C4F0A" w14:textId="77777777" w:rsidR="00333662" w:rsidRPr="00643EF4" w:rsidRDefault="00333662" w:rsidP="00333662">
      <w:pPr>
        <w:pStyle w:val="Ruller41"/>
        <w:rPr>
          <w:rtl/>
        </w:rPr>
      </w:pPr>
      <w:r w:rsidRPr="00643EF4">
        <w:rPr>
          <w:rtl/>
        </w:rPr>
        <w:tab/>
      </w:r>
      <w:r w:rsidRPr="00643EF4">
        <w:rPr>
          <w:rFonts w:hint="cs"/>
          <w:rtl/>
        </w:rPr>
        <w:t>אני מסכים לחוות דעתה ולמסקנותיה של חברתי, הנשיאה</w:t>
      </w:r>
      <w:r w:rsidRPr="00643EF4">
        <w:rPr>
          <w:rFonts w:ascii="Century" w:hAnsi="Century" w:cs="Miriam" w:hint="cs"/>
          <w:b/>
          <w:spacing w:val="0"/>
          <w:szCs w:val="24"/>
          <w:rtl/>
        </w:rPr>
        <w:t xml:space="preserve"> א' חיות</w:t>
      </w:r>
      <w:r w:rsidRPr="00643EF4">
        <w:rPr>
          <w:rFonts w:hint="cs"/>
          <w:rtl/>
        </w:rPr>
        <w:t>.</w:t>
      </w:r>
    </w:p>
    <w:p w14:paraId="14786B91" w14:textId="200BAA00" w:rsidR="00857BCA" w:rsidRPr="00643EF4" w:rsidRDefault="00857BCA" w:rsidP="00857BCA">
      <w:pPr>
        <w:pStyle w:val="BODYVERDICT"/>
        <w:rPr>
          <w:rFonts w:cs="Miriam"/>
          <w:sz w:val="24"/>
          <w:szCs w:val="24"/>
          <w:rtl/>
        </w:rPr>
      </w:pPr>
    </w:p>
    <w:p w14:paraId="7A858342" w14:textId="57A3AF4E" w:rsidR="00857BCA" w:rsidRPr="00643EF4" w:rsidRDefault="00857BCA" w:rsidP="00857BCA">
      <w:pPr>
        <w:pStyle w:val="BODYVERDICT"/>
        <w:rPr>
          <w:rFonts w:cs="Miriam"/>
          <w:sz w:val="24"/>
          <w:szCs w:val="24"/>
          <w:rtl/>
        </w:rPr>
      </w:pPr>
    </w:p>
    <w:p w14:paraId="5054B0FB" w14:textId="5BCB0307" w:rsidR="00857BCA" w:rsidRPr="00643EF4" w:rsidRDefault="00857BCA" w:rsidP="00857BCA">
      <w:pPr>
        <w:pStyle w:val="BODYVERDICT"/>
        <w:rPr>
          <w:rFonts w:cs="Miriam"/>
          <w:sz w:val="24"/>
          <w:szCs w:val="24"/>
          <w:rtl/>
        </w:rPr>
      </w:pPr>
    </w:p>
    <w:tbl>
      <w:tblPr>
        <w:bidiVisual/>
        <w:tblW w:w="8363" w:type="dxa"/>
        <w:tblLook w:val="01E0" w:firstRow="1" w:lastRow="1" w:firstColumn="1" w:lastColumn="1" w:noHBand="0" w:noVBand="0"/>
      </w:tblPr>
      <w:tblGrid>
        <w:gridCol w:w="2786"/>
        <w:gridCol w:w="2787"/>
        <w:gridCol w:w="2790"/>
      </w:tblGrid>
      <w:tr w:rsidR="00857BCA" w:rsidRPr="00643EF4" w14:paraId="6CBDB90A" w14:textId="77777777" w:rsidTr="00EA5DF0">
        <w:tc>
          <w:tcPr>
            <w:tcW w:w="2842" w:type="dxa"/>
            <w:hideMark/>
          </w:tcPr>
          <w:p w14:paraId="5EAA6D45" w14:textId="77777777" w:rsidR="00857BCA" w:rsidRPr="00643EF4" w:rsidRDefault="00857BCA" w:rsidP="00EA5DF0">
            <w:pPr>
              <w:pStyle w:val="Ruller41"/>
            </w:pPr>
          </w:p>
        </w:tc>
        <w:tc>
          <w:tcPr>
            <w:tcW w:w="2843" w:type="dxa"/>
            <w:hideMark/>
          </w:tcPr>
          <w:p w14:paraId="4B2EE1E2" w14:textId="77777777" w:rsidR="00857BCA" w:rsidRPr="00643EF4" w:rsidRDefault="00857BCA" w:rsidP="00EA5DF0">
            <w:pPr>
              <w:pStyle w:val="Ruller41"/>
              <w:jc w:val="center"/>
              <w:rPr>
                <w:rtl/>
              </w:rPr>
            </w:pPr>
          </w:p>
        </w:tc>
        <w:tc>
          <w:tcPr>
            <w:tcW w:w="2843" w:type="dxa"/>
            <w:hideMark/>
          </w:tcPr>
          <w:p w14:paraId="609C7191" w14:textId="77777777" w:rsidR="00857BCA" w:rsidRPr="00643EF4" w:rsidRDefault="00857BCA" w:rsidP="00EA5DF0">
            <w:pPr>
              <w:pStyle w:val="Ruller41"/>
              <w:jc w:val="center"/>
              <w:rPr>
                <w:rtl/>
              </w:rPr>
            </w:pPr>
            <w:r w:rsidRPr="00643EF4">
              <w:rPr>
                <w:rtl/>
              </w:rPr>
              <w:t xml:space="preserve">ש ו פ ט </w:t>
            </w:r>
          </w:p>
        </w:tc>
      </w:tr>
    </w:tbl>
    <w:p w14:paraId="16400148" w14:textId="1E6FBB96" w:rsidR="00857BCA" w:rsidRPr="00643EF4" w:rsidRDefault="00857BCA" w:rsidP="00857BCA">
      <w:pPr>
        <w:pStyle w:val="BODYVERDICT"/>
        <w:rPr>
          <w:rFonts w:cs="Miriam"/>
          <w:sz w:val="24"/>
          <w:szCs w:val="24"/>
          <w:u w:val="single"/>
          <w:rtl/>
        </w:rPr>
      </w:pPr>
    </w:p>
    <w:p w14:paraId="3F7C237D" w14:textId="6031E0DF" w:rsidR="00857BCA" w:rsidRPr="00643EF4" w:rsidRDefault="00857BCA" w:rsidP="00857BCA">
      <w:pPr>
        <w:pStyle w:val="BODYVERDICT"/>
        <w:rPr>
          <w:rFonts w:cs="Miriam"/>
          <w:sz w:val="24"/>
          <w:szCs w:val="24"/>
          <w:u w:val="single"/>
          <w:rtl/>
        </w:rPr>
      </w:pPr>
    </w:p>
    <w:p w14:paraId="61FEAAE3" w14:textId="6FABF8C7" w:rsidR="00857BCA" w:rsidRPr="00643EF4" w:rsidRDefault="00857BCA" w:rsidP="00857BCA">
      <w:pPr>
        <w:pStyle w:val="BODYVERDICT"/>
        <w:rPr>
          <w:rFonts w:cs="Miriam"/>
          <w:sz w:val="24"/>
          <w:szCs w:val="24"/>
          <w:u w:val="single"/>
          <w:rtl/>
        </w:rPr>
      </w:pPr>
    </w:p>
    <w:p w14:paraId="375E762F" w14:textId="77777777" w:rsidR="0062781A" w:rsidRPr="00643EF4" w:rsidRDefault="0062781A" w:rsidP="0062781A">
      <w:pPr>
        <w:pStyle w:val="BODYVERDICT"/>
        <w:rPr>
          <w:rFonts w:cs="Miriam"/>
          <w:sz w:val="24"/>
          <w:szCs w:val="24"/>
          <w:u w:val="single"/>
          <w:rtl/>
        </w:rPr>
      </w:pPr>
      <w:r w:rsidRPr="00643EF4">
        <w:rPr>
          <w:rFonts w:cs="Miriam"/>
          <w:sz w:val="24"/>
          <w:szCs w:val="24"/>
          <w:u w:val="single"/>
          <w:rtl/>
        </w:rPr>
        <w:t>השופטת ד' ברק-ארז</w:t>
      </w:r>
      <w:r w:rsidRPr="00643EF4">
        <w:rPr>
          <w:rFonts w:cs="Miriam"/>
          <w:sz w:val="24"/>
          <w:szCs w:val="24"/>
          <w:rtl/>
        </w:rPr>
        <w:t>:</w:t>
      </w:r>
    </w:p>
    <w:p w14:paraId="3DE8B02E" w14:textId="77777777" w:rsidR="0062781A" w:rsidRPr="00643EF4" w:rsidRDefault="0062781A" w:rsidP="0062781A">
      <w:pPr>
        <w:pStyle w:val="Ruller41"/>
        <w:rPr>
          <w:rtl/>
        </w:rPr>
      </w:pPr>
    </w:p>
    <w:p w14:paraId="22BBBD03" w14:textId="77777777" w:rsidR="0062781A" w:rsidRPr="00643EF4" w:rsidRDefault="0062781A" w:rsidP="0062781A">
      <w:pPr>
        <w:pStyle w:val="Ruller41"/>
        <w:ind w:firstLine="720"/>
        <w:rPr>
          <w:rFonts w:ascii="FrankRuehl" w:hAnsi="FrankRuehl"/>
          <w:sz w:val="28"/>
          <w:rtl/>
        </w:rPr>
      </w:pPr>
      <w:r w:rsidRPr="00643EF4">
        <w:rPr>
          <w:sz w:val="28"/>
          <w:rtl/>
        </w:rPr>
        <w:t xml:space="preserve">אני מסכימה לפסק דינה של חברתי הנשיאה </w:t>
      </w:r>
      <w:r w:rsidRPr="00643EF4">
        <w:rPr>
          <w:rFonts w:cs="Miriam"/>
          <w:sz w:val="24"/>
          <w:szCs w:val="24"/>
          <w:rtl/>
        </w:rPr>
        <w:t>א' חיות</w:t>
      </w:r>
      <w:r w:rsidRPr="00643EF4">
        <w:rPr>
          <w:sz w:val="28"/>
          <w:rtl/>
        </w:rPr>
        <w:t xml:space="preserve"> שהיטיבה לבחון את הנושא שבפנינו מכל עבריו. כל אחת מן הפרספקטיבות שניתן לאמץ להערכתו של החוק להסדרת ההתיישבות ביהודה ושומרון, התשע"ז-2017</w:t>
      </w:r>
      <w:r w:rsidRPr="00643EF4">
        <w:rPr>
          <w:rFonts w:hint="cs"/>
          <w:sz w:val="28"/>
          <w:rtl/>
        </w:rPr>
        <w:t>,</w:t>
      </w:r>
      <w:r w:rsidRPr="00643EF4">
        <w:rPr>
          <w:sz w:val="28"/>
          <w:rtl/>
        </w:rPr>
        <w:t xml:space="preserve"> מובילה לאותה תוצאה. הוא חורג מתפיסות היסוד של המשפט המינהלי הישראלי (בגישתו המרחיבה למתן תוקף גם לפעולות שנעשו בחוסר סמכות). הוא חורג מן ההגנה הניתנת במשפט האזרחי למצבים של תאונות משפטיות (בתחולתו האפשרית גם על מצבים שבהם מוטבי החוק לא פעלו בתום לב). הוא מעורר קושי מבחינת המשפט הבינלאומי. לבסוף, ולמעשה בראש ובראשונה, הוא אינו מתיישב עם הזכות לשוויון המעוגנת במשפטנו החוקתי. </w:t>
      </w:r>
      <w:r w:rsidRPr="00643EF4">
        <w:rPr>
          <w:rFonts w:ascii="FrankRuehl" w:hAnsi="FrankRuehl"/>
          <w:sz w:val="28"/>
          <w:rtl/>
        </w:rPr>
        <w:t xml:space="preserve">רב המרחק בין ההצדקה המשפטית והאנושית </w:t>
      </w:r>
      <w:r w:rsidRPr="00643EF4">
        <w:rPr>
          <w:rFonts w:ascii="FrankRuehl" w:hAnsi="FrankRuehl" w:hint="cs"/>
          <w:sz w:val="28"/>
          <w:rtl/>
        </w:rPr>
        <w:t>למתן</w:t>
      </w:r>
      <w:r w:rsidRPr="00643EF4">
        <w:rPr>
          <w:rFonts w:ascii="FrankRuehl" w:hAnsi="FrankRuehl"/>
          <w:sz w:val="28"/>
          <w:rtl/>
        </w:rPr>
        <w:t xml:space="preserve"> סעד למי שהסתמכו בתום לב על מצגים בנסיבות שבהן סביר לעשות כן, לבין ההסדר הקבוע בחוק, שהיקפו והשלכותיו חורגים ממנה ת"ק פרסה.</w:t>
      </w:r>
    </w:p>
    <w:p w14:paraId="08979413" w14:textId="52D70A4F" w:rsidR="00857BCA" w:rsidRPr="00643EF4" w:rsidRDefault="00857BCA" w:rsidP="00591983">
      <w:pPr>
        <w:pStyle w:val="Ruller38"/>
        <w:rPr>
          <w:rtl/>
        </w:rPr>
      </w:pPr>
    </w:p>
    <w:p w14:paraId="1EB36725" w14:textId="3B32B507" w:rsidR="0062781A" w:rsidRPr="00643EF4" w:rsidRDefault="0062781A" w:rsidP="00591983">
      <w:pPr>
        <w:pStyle w:val="Ruller38"/>
        <w:rPr>
          <w:rtl/>
        </w:rPr>
      </w:pPr>
    </w:p>
    <w:p w14:paraId="23579554" w14:textId="77777777" w:rsidR="0062781A" w:rsidRPr="00643EF4" w:rsidRDefault="0062781A" w:rsidP="00591983">
      <w:pPr>
        <w:pStyle w:val="Ruller38"/>
        <w:rPr>
          <w:rtl/>
        </w:rPr>
      </w:pPr>
    </w:p>
    <w:p w14:paraId="09F5D41D" w14:textId="4D70824D" w:rsidR="00857BCA" w:rsidRPr="00643EF4" w:rsidRDefault="00857BCA" w:rsidP="00591983">
      <w:pPr>
        <w:pStyle w:val="Ruller38"/>
        <w:rPr>
          <w:rtl/>
        </w:rPr>
      </w:pPr>
    </w:p>
    <w:tbl>
      <w:tblPr>
        <w:bidiVisual/>
        <w:tblW w:w="8363" w:type="dxa"/>
        <w:tblLook w:val="01E0" w:firstRow="1" w:lastRow="1" w:firstColumn="1" w:lastColumn="1" w:noHBand="0" w:noVBand="0"/>
      </w:tblPr>
      <w:tblGrid>
        <w:gridCol w:w="2786"/>
        <w:gridCol w:w="2787"/>
        <w:gridCol w:w="2790"/>
      </w:tblGrid>
      <w:tr w:rsidR="00857BCA" w:rsidRPr="00643EF4" w14:paraId="3E5B11B5" w14:textId="77777777" w:rsidTr="00EA5DF0">
        <w:tc>
          <w:tcPr>
            <w:tcW w:w="2786" w:type="dxa"/>
            <w:hideMark/>
          </w:tcPr>
          <w:p w14:paraId="7D6D44B4" w14:textId="77777777" w:rsidR="00857BCA" w:rsidRPr="00643EF4" w:rsidRDefault="00857BCA" w:rsidP="00EA5DF0">
            <w:pPr>
              <w:pStyle w:val="Ruller41"/>
            </w:pPr>
          </w:p>
        </w:tc>
        <w:tc>
          <w:tcPr>
            <w:tcW w:w="2787" w:type="dxa"/>
            <w:hideMark/>
          </w:tcPr>
          <w:p w14:paraId="63F1A234" w14:textId="77777777" w:rsidR="00857BCA" w:rsidRPr="00643EF4" w:rsidRDefault="00857BCA" w:rsidP="00EA5DF0">
            <w:pPr>
              <w:pStyle w:val="Ruller41"/>
              <w:jc w:val="center"/>
              <w:rPr>
                <w:rtl/>
              </w:rPr>
            </w:pPr>
          </w:p>
        </w:tc>
        <w:tc>
          <w:tcPr>
            <w:tcW w:w="2790" w:type="dxa"/>
            <w:hideMark/>
          </w:tcPr>
          <w:p w14:paraId="47E8859F" w14:textId="77777777" w:rsidR="00857BCA" w:rsidRPr="00643EF4" w:rsidRDefault="00857BCA" w:rsidP="00EA5DF0">
            <w:pPr>
              <w:pStyle w:val="Ruller41"/>
              <w:jc w:val="center"/>
              <w:rPr>
                <w:rtl/>
              </w:rPr>
            </w:pPr>
            <w:r w:rsidRPr="00643EF4">
              <w:rPr>
                <w:rtl/>
              </w:rPr>
              <w:t xml:space="preserve">ש ו פ ט </w:t>
            </w:r>
            <w:r w:rsidRPr="00643EF4">
              <w:rPr>
                <w:rFonts w:hint="cs"/>
                <w:rtl/>
              </w:rPr>
              <w:t>ת</w:t>
            </w:r>
          </w:p>
        </w:tc>
      </w:tr>
    </w:tbl>
    <w:p w14:paraId="7043A71A" w14:textId="7758CC60" w:rsidR="00857BCA" w:rsidRPr="00643EF4" w:rsidRDefault="00857BCA" w:rsidP="00591983">
      <w:pPr>
        <w:pStyle w:val="Ruller38"/>
        <w:rPr>
          <w:rtl/>
        </w:rPr>
      </w:pPr>
    </w:p>
    <w:p w14:paraId="24A58287" w14:textId="66CEE2D7" w:rsidR="00857BCA" w:rsidRPr="00643EF4" w:rsidRDefault="00857BCA" w:rsidP="00591983">
      <w:pPr>
        <w:pStyle w:val="Ruller38"/>
        <w:rPr>
          <w:rtl/>
        </w:rPr>
      </w:pPr>
    </w:p>
    <w:p w14:paraId="29E13F21" w14:textId="34892ECB" w:rsidR="00857BCA" w:rsidRPr="00643EF4" w:rsidRDefault="00857BCA" w:rsidP="00591983">
      <w:pPr>
        <w:pStyle w:val="Ruller38"/>
        <w:rPr>
          <w:rtl/>
        </w:rPr>
      </w:pPr>
    </w:p>
    <w:p w14:paraId="0DD4F79E" w14:textId="776F9351" w:rsidR="00857BCA" w:rsidRPr="00643EF4" w:rsidRDefault="00857BCA" w:rsidP="00591983">
      <w:pPr>
        <w:pStyle w:val="Ruller38"/>
        <w:rPr>
          <w:rtl/>
        </w:rPr>
      </w:pPr>
    </w:p>
    <w:p w14:paraId="0E738370" w14:textId="533869C9" w:rsidR="00857BCA" w:rsidRPr="00643EF4" w:rsidRDefault="00857BCA" w:rsidP="00591983">
      <w:pPr>
        <w:pStyle w:val="Ruller38"/>
        <w:rPr>
          <w:rtl/>
        </w:rPr>
      </w:pPr>
    </w:p>
    <w:p w14:paraId="51E66DB3" w14:textId="77777777" w:rsidR="0062781A" w:rsidRPr="00643EF4" w:rsidRDefault="0062781A" w:rsidP="0062781A">
      <w:pPr>
        <w:pStyle w:val="BODYVERDICT"/>
        <w:spacing w:line="480" w:lineRule="auto"/>
        <w:rPr>
          <w:rFonts w:cs="Miriam"/>
          <w:sz w:val="24"/>
          <w:szCs w:val="24"/>
          <w:u w:val="single"/>
        </w:rPr>
      </w:pPr>
      <w:r w:rsidRPr="00643EF4">
        <w:rPr>
          <w:rFonts w:cs="Miriam"/>
          <w:sz w:val="24"/>
          <w:szCs w:val="24"/>
          <w:u w:val="single"/>
          <w:rtl/>
        </w:rPr>
        <w:t>השופט נ' סולברג</w:t>
      </w:r>
      <w:r w:rsidRPr="00643EF4">
        <w:rPr>
          <w:rFonts w:cs="Miriam"/>
          <w:sz w:val="24"/>
          <w:szCs w:val="24"/>
          <w:rtl/>
        </w:rPr>
        <w:t>:</w:t>
      </w:r>
    </w:p>
    <w:p w14:paraId="100B584D" w14:textId="77777777" w:rsidR="0062781A" w:rsidRPr="00643EF4" w:rsidRDefault="0062781A" w:rsidP="0062781A">
      <w:pPr>
        <w:pStyle w:val="BODYVERDICT"/>
        <w:rPr>
          <w:rFonts w:cs="Miriam"/>
          <w:sz w:val="24"/>
          <w:szCs w:val="24"/>
          <w:u w:val="single"/>
        </w:rPr>
      </w:pPr>
    </w:p>
    <w:p w14:paraId="1E474782" w14:textId="73499902" w:rsidR="0062781A" w:rsidRPr="00643EF4" w:rsidRDefault="0062781A" w:rsidP="00713871">
      <w:pPr>
        <w:pStyle w:val="Ruller41"/>
        <w:rPr>
          <w:rtl/>
        </w:rPr>
      </w:pPr>
      <w:r w:rsidRPr="00643EF4">
        <w:rPr>
          <w:rtl/>
        </w:rPr>
        <w:t>1.</w:t>
      </w:r>
      <w:r w:rsidRPr="00643EF4">
        <w:rPr>
          <w:rtl/>
        </w:rPr>
        <w:tab/>
        <w:t xml:space="preserve">חוק ההסדרה הוא חוק חריג. הוא מבקש לייצר </w:t>
      </w:r>
      <w:r w:rsidRPr="00643EF4">
        <w:rPr>
          <w:rFonts w:ascii="Century" w:hAnsi="Century" w:cs="Miriam"/>
          <w:b/>
          <w:spacing w:val="0"/>
          <w:szCs w:val="24"/>
          <w:rtl/>
        </w:rPr>
        <w:t>"פתרון לא שגרתי לבעיה קשה ולא שגרתית"</w:t>
      </w:r>
      <w:r w:rsidRPr="00643EF4">
        <w:rPr>
          <w:rtl/>
        </w:rPr>
        <w:t xml:space="preserve"> (סעיף 58 לתגובה המקדמית מטעם הכנסת). כל ניסיון לבחון אפוא את חוקתיותו של חוק ההסדרה מתוך  השוואה לדין ה'רגיל' – הדין המנהלי או הדין האזרחי – חורץ את גורלו, באופן בלתי נמנע, לשבט. בחינה שכזו מתעלמת מן המורכבות העובדתית והמשפטית, שהובילה לחקיקתו של חוק ההסדרה. חוק ההסדרה – כשמו כן הוא – חוק; לא החלטה מנהלית של המפקד הצבאי, גם לא החלטת ממשלה. חוק ההסדרה מבטא הכרעה ערכית עקרונית של כנסת י</w:t>
      </w:r>
      <w:r w:rsidR="00B438EB">
        <w:rPr>
          <w:rtl/>
        </w:rPr>
        <w:t xml:space="preserve">שראל בדילמה קשה מאד, שעל צדדיה </w:t>
      </w:r>
      <w:r w:rsidR="00B438EB">
        <w:rPr>
          <w:rFonts w:hint="cs"/>
          <w:rtl/>
        </w:rPr>
        <w:t>א</w:t>
      </w:r>
      <w:r w:rsidRPr="00643EF4">
        <w:rPr>
          <w:rtl/>
        </w:rPr>
        <w:t xml:space="preserve">עמוד להלן בהרחבה. לא בחופזה </w:t>
      </w:r>
      <w:r w:rsidR="00713871">
        <w:rPr>
          <w:rFonts w:hint="cs"/>
          <w:rtl/>
        </w:rPr>
        <w:t>ול</w:t>
      </w:r>
      <w:r w:rsidRPr="00643EF4">
        <w:rPr>
          <w:rtl/>
        </w:rPr>
        <w:t xml:space="preserve">א בקלות דעת התקבל חוק ההסדרה בכנסת ישראל; קדם לכך הליך חקיקה יסודי, מעמיק ומקיף. לטובת הדיון בחוק ההסדרה הוקמה ועדה מיוחדת – ועדה משותפת לוועדת חוקה, חוק ומשפט ולוועדת החוץ והביטחון – ובמסגרת דיוניה נשמעו, נשקלו ונדונו בכובד ראש טענות מטענות שונות, של תומכי החוק ומתנגדיו. הליך החקיקה שיקף נאמנה – לא אחת בחריפות ובעוצמה – לא רק את המחלוקת </w:t>
      </w:r>
      <w:r w:rsidRPr="00643EF4">
        <w:rPr>
          <w:rFonts w:ascii="Century" w:hAnsi="Century" w:cs="Miriam"/>
          <w:b/>
          <w:spacing w:val="0"/>
          <w:szCs w:val="24"/>
          <w:rtl/>
        </w:rPr>
        <w:t>המשפטית</w:t>
      </w:r>
      <w:r w:rsidRPr="00643EF4">
        <w:rPr>
          <w:rtl/>
        </w:rPr>
        <w:t xml:space="preserve"> באשר לחוק ההסדרה, אלא גם את המחלוקת </w:t>
      </w:r>
      <w:r w:rsidRPr="00643EF4">
        <w:rPr>
          <w:rFonts w:ascii="Century" w:hAnsi="Century" w:cs="Miriam"/>
          <w:b/>
          <w:spacing w:val="0"/>
          <w:szCs w:val="24"/>
          <w:rtl/>
        </w:rPr>
        <w:t>הפוליטית</w:t>
      </w:r>
      <w:r w:rsidRPr="00643EF4">
        <w:rPr>
          <w:rtl/>
        </w:rPr>
        <w:t xml:space="preserve"> הנוקבת שחוצצת בין תומכי החוק למתנגדיו. כפי שציינו לפנינו באי-כוח הכנסת והממשלה, </w:t>
      </w:r>
      <w:r w:rsidRPr="00643EF4">
        <w:rPr>
          <w:rtl/>
        </w:rPr>
        <w:lastRenderedPageBreak/>
        <w:t>עובדה זו נודעת לה חשיבות רבה לעת בחינתו החוקתית של חוק</w:t>
      </w:r>
      <w:r w:rsidR="00966E7D">
        <w:rPr>
          <w:rtl/>
        </w:rPr>
        <w:t xml:space="preserve"> ההסדרה. אולם בטרם נצא לדרכנו, </w:t>
      </w:r>
      <w:r w:rsidR="00966E7D">
        <w:rPr>
          <w:rFonts w:hint="cs"/>
          <w:rtl/>
        </w:rPr>
        <w:t>א</w:t>
      </w:r>
      <w:r w:rsidRPr="00643EF4">
        <w:rPr>
          <w:rtl/>
        </w:rPr>
        <w:t xml:space="preserve">קדים התייחסות קצרה לשתי סוגיות מקדמיות שהונחו לפתחנו. </w:t>
      </w:r>
    </w:p>
    <w:p w14:paraId="2F8F0F48" w14:textId="77777777" w:rsidR="0062781A" w:rsidRPr="00643EF4" w:rsidRDefault="0062781A" w:rsidP="0062781A">
      <w:pPr>
        <w:pStyle w:val="Ruller41"/>
        <w:spacing w:line="480" w:lineRule="auto"/>
        <w:rPr>
          <w:rtl/>
        </w:rPr>
      </w:pPr>
    </w:p>
    <w:p w14:paraId="1E4A1AD2" w14:textId="273C4FFB" w:rsidR="0062781A" w:rsidRPr="00643EF4" w:rsidRDefault="0062781A" w:rsidP="0062781A">
      <w:pPr>
        <w:pStyle w:val="Ruller41"/>
        <w:spacing w:line="480" w:lineRule="auto"/>
        <w:rPr>
          <w:rFonts w:ascii="Miriam" w:hAnsi="Miriam" w:cs="Miriam"/>
          <w:sz w:val="18"/>
          <w:szCs w:val="24"/>
          <w:rtl/>
        </w:rPr>
      </w:pPr>
      <w:r w:rsidRPr="00643EF4">
        <w:rPr>
          <w:rFonts w:ascii="Century" w:hAnsi="Century" w:cs="Miriam"/>
          <w:b/>
          <w:spacing w:val="0"/>
          <w:szCs w:val="24"/>
          <w:rtl/>
        </w:rPr>
        <w:t>חוק ההסדרה – סמכות הכנסת ותחולת חוקי היסוד</w:t>
      </w:r>
    </w:p>
    <w:p w14:paraId="4FD516B1" w14:textId="77777777" w:rsidR="00EA5DF0" w:rsidRPr="00643EF4" w:rsidRDefault="00EA5DF0" w:rsidP="0062781A">
      <w:pPr>
        <w:pStyle w:val="Ruller41"/>
        <w:spacing w:line="480" w:lineRule="auto"/>
        <w:rPr>
          <w:rFonts w:ascii="Miriam" w:hAnsi="Miriam" w:cs="Miriam"/>
          <w:sz w:val="18"/>
          <w:szCs w:val="24"/>
          <w:rtl/>
        </w:rPr>
      </w:pPr>
    </w:p>
    <w:p w14:paraId="1BF39FB7" w14:textId="77777777" w:rsidR="0062781A" w:rsidRPr="00643EF4" w:rsidRDefault="0062781A" w:rsidP="0062781A">
      <w:pPr>
        <w:pStyle w:val="Ruller41"/>
        <w:rPr>
          <w:rFonts w:ascii="FrankRuehl" w:hAnsi="FrankRuehl"/>
          <w:b/>
          <w:spacing w:val="0"/>
          <w:sz w:val="26"/>
          <w:rtl/>
        </w:rPr>
      </w:pPr>
      <w:r w:rsidRPr="00643EF4">
        <w:rPr>
          <w:rFonts w:ascii="FrankRuehl" w:hAnsi="FrankRuehl"/>
          <w:b/>
          <w:spacing w:val="0"/>
          <w:sz w:val="26"/>
          <w:rtl/>
        </w:rPr>
        <w:t>2.</w:t>
      </w:r>
      <w:r w:rsidRPr="00643EF4">
        <w:rPr>
          <w:rFonts w:ascii="FrankRuehl" w:hAnsi="FrankRuehl"/>
          <w:b/>
          <w:spacing w:val="0"/>
          <w:sz w:val="26"/>
          <w:rtl/>
        </w:rPr>
        <w:tab/>
      </w:r>
      <w:r w:rsidRPr="00643EF4">
        <w:rPr>
          <w:rtl/>
        </w:rPr>
        <w:t>לטענת העותרים, הכנסת פעלה בחוסר סמכות כשחוקקה את חוק ההסדרה, בניגוד לדין הבינלאומי האוסר על מדינה להחיל את חוקיה על שטח הנתון בתפיסה לוחמתית. הממשלה דחתה טענה זו מכל וכל. לשיטתה, דבר אינו מגביל את כנסת ישראל מלחוקק חקיקה חוץ-טריטוריאלית, לא בכלל ולא באזור, זולת חוקי-היסוד שחוקקה הכנסת בכובעה כרשות מכוננת. היועץ המשפטי לממשלה טען, כי ככל שהדברים אמורים בהתנגשות בין הדין הישראלי הפנימי לבין הדין הבינלאומי, מקובלנו כי ידו של הדין הישראלי על העליונה. לצד זאת ביקש היועץ המשפטי שלא לטעת מסמרות בשאלת תחולתו הישירה של חוק ההסדרה באזור, מחמת קשיים שונים שהדבר מעורר. לדבריו אין אנו צריכים לכך, מאחר שהוראות חוק ההסדרה מכוונות כלפי המפקד הצבאי, שבהיותו אורגן ישראלי חייב ממילא לפעול ליישומו של החוק במסגרת חקיקת צו מתאים, בהתאם לדין הפנימי הנוהג באזור מאז 1967</w:t>
      </w:r>
      <w:r w:rsidRPr="00643EF4">
        <w:rPr>
          <w:rFonts w:ascii="FrankRuehl" w:hAnsi="FrankRuehl"/>
          <w:b/>
          <w:spacing w:val="0"/>
          <w:sz w:val="26"/>
          <w:rtl/>
        </w:rPr>
        <w:t>.</w:t>
      </w:r>
    </w:p>
    <w:p w14:paraId="6C42F683" w14:textId="77777777" w:rsidR="0062781A" w:rsidRPr="00643EF4" w:rsidRDefault="0062781A" w:rsidP="0062781A">
      <w:pPr>
        <w:pStyle w:val="Ruller41"/>
        <w:rPr>
          <w:rFonts w:ascii="FrankRuehl" w:hAnsi="FrankRuehl"/>
          <w:b/>
          <w:spacing w:val="0"/>
          <w:sz w:val="26"/>
          <w:rtl/>
        </w:rPr>
      </w:pPr>
    </w:p>
    <w:p w14:paraId="5FF7E0EC" w14:textId="77777777" w:rsidR="0062781A" w:rsidRPr="00643EF4" w:rsidRDefault="0062781A" w:rsidP="0062781A">
      <w:pPr>
        <w:pStyle w:val="Ruller41"/>
        <w:rPr>
          <w:rFonts w:ascii="FrankRuehl" w:hAnsi="FrankRuehl"/>
          <w:b/>
          <w:spacing w:val="0"/>
          <w:sz w:val="26"/>
          <w:rtl/>
        </w:rPr>
      </w:pPr>
      <w:r w:rsidRPr="00643EF4">
        <w:rPr>
          <w:rtl/>
        </w:rPr>
        <w:t>3.</w:t>
      </w:r>
      <w:r w:rsidRPr="00643EF4">
        <w:rPr>
          <w:rtl/>
        </w:rPr>
        <w:tab/>
        <w:t>מקובלת עלי עמדת הממשלה, כי אין דבר המונע מן הכנסת לחוקק גם ביחס לאזור יהודה ושומרון. הדברים אינם בגדר חידוש; הם נאמרו, נשנו ונשתלשו בפסיקתו של בית משפט זה לאורך השנים. עמד על כך הנשיא (בדימוס)</w:t>
      </w:r>
      <w:r w:rsidRPr="00643EF4">
        <w:rPr>
          <w:rFonts w:ascii="FrankRuehl" w:hAnsi="FrankRuehl"/>
          <w:b/>
          <w:spacing w:val="0"/>
          <w:sz w:val="26"/>
          <w:rtl/>
        </w:rPr>
        <w:t xml:space="preserve"> </w:t>
      </w:r>
      <w:r w:rsidRPr="00643EF4">
        <w:rPr>
          <w:rFonts w:ascii="Century" w:hAnsi="Century" w:cs="Miriam"/>
          <w:b/>
          <w:spacing w:val="0"/>
          <w:szCs w:val="24"/>
          <w:rtl/>
        </w:rPr>
        <w:t xml:space="preserve">א' ברק </w:t>
      </w:r>
      <w:r w:rsidRPr="00643EF4">
        <w:rPr>
          <w:rtl/>
        </w:rPr>
        <w:t>באחת הפרשות, אליהן הפנתה הממשלה:</w:t>
      </w:r>
    </w:p>
    <w:p w14:paraId="437C95C6" w14:textId="77777777" w:rsidR="0062781A" w:rsidRPr="00643EF4" w:rsidRDefault="0062781A" w:rsidP="0062781A">
      <w:pPr>
        <w:pStyle w:val="Ruller41"/>
        <w:rPr>
          <w:rFonts w:ascii="FrankRuehl" w:hAnsi="FrankRuehl"/>
          <w:b/>
          <w:spacing w:val="0"/>
          <w:sz w:val="26"/>
          <w:rtl/>
        </w:rPr>
      </w:pPr>
    </w:p>
    <w:p w14:paraId="1D8AB72E" w14:textId="77777777" w:rsidR="0062781A" w:rsidRPr="00643EF4" w:rsidRDefault="0062781A" w:rsidP="0062781A">
      <w:pPr>
        <w:pStyle w:val="ruller44"/>
        <w:shd w:val="clear" w:color="auto" w:fill="FFFFFF"/>
        <w:bidi/>
        <w:spacing w:before="0" w:beforeAutospacing="0" w:after="0" w:afterAutospacing="0" w:line="330" w:lineRule="atLeast"/>
        <w:ind w:left="657" w:right="567"/>
        <w:jc w:val="both"/>
        <w:rPr>
          <w:rFonts w:ascii="FrankRuehl" w:hAnsi="FrankRuehl" w:cs="FrankRuehl"/>
          <w:b/>
          <w:sz w:val="26"/>
          <w:szCs w:val="28"/>
          <w:rtl/>
        </w:rPr>
      </w:pPr>
      <w:r w:rsidRPr="00643EF4">
        <w:rPr>
          <w:rFonts w:ascii="Century" w:hAnsi="Century" w:cs="Miriam"/>
          <w:b/>
          <w:sz w:val="22"/>
          <w:rtl/>
        </w:rPr>
        <w:t xml:space="preserve">"ככלל חקיקה ישראלית היא בעלת תחולה טריטוריאלית. כאשר חוק מבקש להחיל עצמו על אנשים או פעולות שמחוץ לישראל, צריך הדבר להיאמר בחוק (במפורש או במשתמע). אכן, חזקה היא כי חוקיה של ישראל חלים על יחסים משפטיים בישראל, והם אינם מכוונים להסדיר יחסים משפטיים מחוץ לישראל. כך הדין בחקיקה פלילית בישראל; כך הדין בחקיקה שאינה פלילית. חזקה זו ניתנת לסתירה [...] דין זה חל גם לעניין תחולתה של חקיקה ישראלית באזור. יהודה, שומרון וחבל עזה אינם חלק ממדינת ישראל; לא הוכרז לגביהם כי 'המשפט והשיפוט והמינהל של המדינה' חל בהם. חזקה היא כי דברי חקיקה ישראלים חלים בישראל ולא באזור, אלא אם נקבע בדבר חקיקה (במפורש או במשתמע) שהוא חל באזור" </w:t>
      </w:r>
      <w:r w:rsidRPr="00643EF4">
        <w:rPr>
          <w:rFonts w:ascii="FrankRuehl" w:hAnsi="FrankRuehl" w:cs="FrankRuehl"/>
          <w:b/>
          <w:sz w:val="26"/>
          <w:szCs w:val="28"/>
          <w:rtl/>
        </w:rPr>
        <w:t>(בג"ץ 8276/05</w:t>
      </w:r>
      <w:r w:rsidRPr="00643EF4">
        <w:rPr>
          <w:rFonts w:ascii="Century" w:hAnsi="Century" w:cs="Miriam"/>
          <w:b/>
          <w:sz w:val="22"/>
          <w:rtl/>
        </w:rPr>
        <w:t xml:space="preserve"> עדאלה נ' שר הביטחון</w:t>
      </w:r>
      <w:r w:rsidRPr="00643EF4">
        <w:rPr>
          <w:rFonts w:ascii="FrankRuehl" w:hAnsi="FrankRuehl" w:cs="FrankRuehl"/>
          <w:b/>
          <w:sz w:val="26"/>
          <w:szCs w:val="28"/>
          <w:rtl/>
        </w:rPr>
        <w:t>, פ"ד סב(1) 1, 20 (2006)).</w:t>
      </w:r>
    </w:p>
    <w:p w14:paraId="6DA228EA" w14:textId="77777777" w:rsidR="0062781A" w:rsidRPr="00643EF4" w:rsidRDefault="0062781A" w:rsidP="0062781A">
      <w:pPr>
        <w:pStyle w:val="Ruller41"/>
        <w:spacing w:line="480" w:lineRule="auto"/>
        <w:rPr>
          <w:rFonts w:ascii="Century" w:hAnsi="Century" w:cs="Miriam"/>
          <w:b/>
          <w:spacing w:val="0"/>
          <w:szCs w:val="24"/>
          <w:rtl/>
        </w:rPr>
      </w:pPr>
      <w:r w:rsidRPr="00643EF4">
        <w:rPr>
          <w:rFonts w:ascii="Century" w:hAnsi="Century" w:cs="Miriam"/>
          <w:b/>
          <w:spacing w:val="0"/>
          <w:szCs w:val="24"/>
          <w:rtl/>
        </w:rPr>
        <w:t xml:space="preserve">  </w:t>
      </w:r>
    </w:p>
    <w:p w14:paraId="0108849C" w14:textId="4A5B7561" w:rsidR="0062781A" w:rsidRPr="00643EF4" w:rsidRDefault="0062781A" w:rsidP="0062781A">
      <w:pPr>
        <w:pStyle w:val="Ruller41"/>
        <w:rPr>
          <w:rFonts w:ascii="FrankRuehl" w:hAnsi="FrankRuehl"/>
          <w:b/>
          <w:spacing w:val="0"/>
          <w:sz w:val="26"/>
          <w:rtl/>
        </w:rPr>
      </w:pPr>
      <w:r w:rsidRPr="00643EF4">
        <w:rPr>
          <w:rtl/>
        </w:rPr>
        <w:t>4</w:t>
      </w:r>
      <w:r w:rsidRPr="00643EF4">
        <w:rPr>
          <w:rFonts w:ascii="FrankRuehl" w:hAnsi="FrankRuehl"/>
          <w:b/>
          <w:spacing w:val="0"/>
          <w:sz w:val="26"/>
          <w:rtl/>
        </w:rPr>
        <w:t>.</w:t>
      </w:r>
      <w:r w:rsidRPr="00643EF4">
        <w:rPr>
          <w:rFonts w:ascii="FrankRuehl" w:hAnsi="FrankRuehl"/>
          <w:b/>
          <w:spacing w:val="0"/>
          <w:sz w:val="26"/>
          <w:rtl/>
        </w:rPr>
        <w:tab/>
        <w:t xml:space="preserve">אכן, </w:t>
      </w:r>
      <w:r w:rsidRPr="00643EF4">
        <w:rPr>
          <w:rtl/>
        </w:rPr>
        <w:t xml:space="preserve">סמכותה של הכנסת לחוקק חוקים שלהם תחולה ישירה באזור, עשויה לעורר קשיים מעשיים, בין היתר בשל העובדה </w:t>
      </w:r>
      <w:r w:rsidRPr="00643EF4">
        <w:rPr>
          <w:rFonts w:ascii="Century" w:hAnsi="Century" w:cs="Miriam"/>
          <w:b/>
          <w:spacing w:val="0"/>
          <w:szCs w:val="24"/>
          <w:rtl/>
        </w:rPr>
        <w:t xml:space="preserve">"שחקיקת הכנסת אינה חלק אינטגרלי ממערכת הדינים המקומית, אינה 'מדברת באותה השפה', וגם לא מפורסמת באופן שבו </w:t>
      </w:r>
      <w:r w:rsidRPr="00643EF4">
        <w:rPr>
          <w:rFonts w:ascii="Century" w:hAnsi="Century" w:cs="Miriam"/>
          <w:b/>
          <w:spacing w:val="0"/>
          <w:szCs w:val="24"/>
          <w:rtl/>
        </w:rPr>
        <w:lastRenderedPageBreak/>
        <w:t>מפורסמים דברי חקיקה באזור"</w:t>
      </w:r>
      <w:r w:rsidRPr="00643EF4">
        <w:rPr>
          <w:rtl/>
        </w:rPr>
        <w:t xml:space="preserve"> (סעיף 87 לתגובה המקדמית מטעם היועץ המשפטי לממשלה). אולם אין בכוחם של הקשיים הללו כדי לגרוע מעצם קיומה של הסמכות; הסמכות שרירה וקיימת. כפי שציין גם היועץ המשפטי לממשלה, מנשר מס' 2 שהוציא המפקד הצבאי בשנת 1967, ולפיו כל סמכויות החקיקה והשלטון באזור נתונות בידו בלבד, אינן יכולות להגביל את כוחה של הכנסת לחוקק ביהודה ושומרון. </w:t>
      </w:r>
      <w:r w:rsidRPr="00643EF4">
        <w:rPr>
          <w:rFonts w:ascii="Century" w:hAnsi="Century" w:cs="Miriam"/>
          <w:b/>
          <w:spacing w:val="0"/>
          <w:szCs w:val="24"/>
          <w:rtl/>
        </w:rPr>
        <w:t>"הכנסת היא הרשות המחוקקת העליונה בישראל ושום דבר אינו מונע בעדה מלהתערב במעשי המפקד הצבאי ובצוויו [...] נכון שבמציאות מופקדת סמכות החקיקה בדרך-כלל בידי המושל הצבאי,</w:t>
      </w:r>
      <w:r w:rsidRPr="00643EF4">
        <w:rPr>
          <w:rFonts w:ascii="Miriam" w:hAnsi="Miriam" w:cs="Miriam"/>
          <w:sz w:val="18"/>
          <w:szCs w:val="24"/>
          <w:rtl/>
        </w:rPr>
        <w:t xml:space="preserve"> </w:t>
      </w:r>
      <w:r w:rsidRPr="00643EF4">
        <w:rPr>
          <w:rFonts w:ascii="Century" w:hAnsi="Century" w:cs="Miriam"/>
          <w:b/>
          <w:spacing w:val="0"/>
          <w:szCs w:val="24"/>
          <w:rtl/>
        </w:rPr>
        <w:t>אשר נכנס בנעליה של הרשות המחוקקת בשטח המוחזק. זהו מצב דברים טבעי ורצוי כאחד [...] אולם אין לפנינו כלל בל-יעבור, והכנסת רשאית גם רשאית לחוקק חוק, שיבוא במקום צו או צווים של המפקד הצבאי"</w:t>
      </w:r>
      <w:r w:rsidRPr="00643EF4">
        <w:rPr>
          <w:rtl/>
        </w:rPr>
        <w:t xml:space="preserve"> (יורם דינשטיין "פסק הדין בעניין פיתחת רפיח" </w:t>
      </w:r>
      <w:r w:rsidRPr="00643EF4">
        <w:rPr>
          <w:rFonts w:ascii="Century" w:hAnsi="Century" w:cs="Miriam"/>
          <w:b/>
          <w:spacing w:val="0"/>
          <w:szCs w:val="24"/>
          <w:rtl/>
        </w:rPr>
        <w:t>עיוני משפט</w:t>
      </w:r>
      <w:r w:rsidRPr="00643EF4">
        <w:rPr>
          <w:rtl/>
        </w:rPr>
        <w:t xml:space="preserve"> ג 934, 937 (התשל"ג-התשל"ד)). כפי שמציינת חברתי</w:t>
      </w:r>
      <w:r w:rsidRPr="00643EF4">
        <w:rPr>
          <w:rFonts w:hint="cs"/>
          <w:rtl/>
        </w:rPr>
        <w:t xml:space="preserve"> הנשיאה</w:t>
      </w:r>
      <w:r w:rsidRPr="00643EF4">
        <w:rPr>
          <w:rtl/>
        </w:rPr>
        <w:t xml:space="preserve">, המפקד הצבאי נתון למרותה של </w:t>
      </w:r>
      <w:r w:rsidR="00B379F3">
        <w:rPr>
          <w:rFonts w:hint="cs"/>
          <w:rtl/>
        </w:rPr>
        <w:t>ה</w:t>
      </w:r>
      <w:r w:rsidRPr="00643EF4">
        <w:rPr>
          <w:rtl/>
        </w:rPr>
        <w:t>ממשלה; הממשלה מכהנת מכוח אמון הכנסת. אלה הן מושכלות יסוד. אם מבקשת הכנסת להחיל את חוקיה על האזור, יהי כן.</w:t>
      </w:r>
    </w:p>
    <w:p w14:paraId="3ED401DB" w14:textId="77777777" w:rsidR="0062781A" w:rsidRPr="00643EF4" w:rsidRDefault="0062781A" w:rsidP="0062781A">
      <w:pPr>
        <w:pStyle w:val="Ruller41"/>
        <w:rPr>
          <w:rFonts w:ascii="FrankRuehl" w:hAnsi="FrankRuehl"/>
          <w:b/>
          <w:spacing w:val="0"/>
          <w:sz w:val="26"/>
          <w:rtl/>
        </w:rPr>
      </w:pPr>
      <w:r w:rsidRPr="00643EF4">
        <w:rPr>
          <w:rFonts w:ascii="FrankRuehl" w:hAnsi="FrankRuehl"/>
          <w:b/>
          <w:spacing w:val="0"/>
          <w:sz w:val="26"/>
          <w:rtl/>
        </w:rPr>
        <w:tab/>
        <w:t xml:space="preserve">     </w:t>
      </w:r>
    </w:p>
    <w:p w14:paraId="6657F657" w14:textId="77777777" w:rsidR="0062781A" w:rsidRPr="00643EF4" w:rsidRDefault="0062781A" w:rsidP="0062781A">
      <w:pPr>
        <w:pStyle w:val="Ruller41"/>
        <w:rPr>
          <w:rtl/>
        </w:rPr>
      </w:pPr>
      <w:r w:rsidRPr="00643EF4">
        <w:rPr>
          <w:rtl/>
        </w:rPr>
        <w:t>5.</w:t>
      </w:r>
      <w:r w:rsidRPr="00643EF4">
        <w:rPr>
          <w:rtl/>
        </w:rPr>
        <w:tab/>
        <w:t xml:space="preserve">שאלה עקרונית נוספת שהונחה לפתחנו, והיא פועל יוצא של שאלת סמכותה של הכנסת לחוקק באזור, עניינה בתחולתם של חוקי-היסוד באזור. שאלה זו נותרה עד כה בצריך עיון. לעמדת היועץ המשפטי לממשלה – </w:t>
      </w:r>
      <w:r w:rsidRPr="00643EF4">
        <w:rPr>
          <w:rFonts w:ascii="Century" w:hAnsi="Century" w:cs="Miriam"/>
          <w:b/>
          <w:spacing w:val="0"/>
          <w:szCs w:val="24"/>
          <w:rtl/>
        </w:rPr>
        <w:t>"המסקנה המתחייבת בענייננו היא כי הוראות חוק ההסדרה נדרשות לעמוד בהוראות פסקת ההגבלה שבסעיף 8 לחוק היסוד, בהתאמות הנדרשות</w:t>
      </w:r>
      <w:r w:rsidRPr="00643EF4">
        <w:rPr>
          <w:rtl/>
        </w:rPr>
        <w:t>" (סעיף 99 לתגובה המקדמית מטעם היועץ המשפטי לממשלה). הממשלה מצדה טענה, כי הותרת שאלת תחולתם של חוקי-היסוד באזור בצריך עיון מצדיקה כשלעצמה את המסקנה</w:t>
      </w:r>
      <w:r w:rsidRPr="00643EF4">
        <w:rPr>
          <w:rFonts w:ascii="FrankRuehl" w:hAnsi="FrankRuehl"/>
          <w:b/>
          <w:spacing w:val="0"/>
          <w:sz w:val="26"/>
          <w:rtl/>
        </w:rPr>
        <w:t xml:space="preserve"> </w:t>
      </w:r>
      <w:r w:rsidRPr="00643EF4">
        <w:rPr>
          <w:rtl/>
        </w:rPr>
        <w:t xml:space="preserve">– </w:t>
      </w:r>
      <w:r w:rsidRPr="00643EF4">
        <w:rPr>
          <w:rFonts w:ascii="Century" w:hAnsi="Century" w:cs="Miriam"/>
          <w:b/>
          <w:spacing w:val="0"/>
          <w:szCs w:val="24"/>
          <w:rtl/>
        </w:rPr>
        <w:t>"כי אין עילה חוקית לפסילת חוק ההסדרה</w:t>
      </w:r>
      <w:r w:rsidRPr="00643EF4">
        <w:rPr>
          <w:rtl/>
        </w:rPr>
        <w:t xml:space="preserve">" (סעיף 80 לתגובה המקדמית מטעם הממשלה). אף על-פי כן, בהמשך דבריה, במסגרת טענותיה לעניין סמכות הכנסת לחוקק באזור, הודתה הממשלה כי סמכות זו כפופה לחוקי היסוד: </w:t>
      </w:r>
      <w:r w:rsidRPr="00643EF4">
        <w:rPr>
          <w:rFonts w:ascii="Century" w:hAnsi="Century" w:cs="Miriam"/>
          <w:b/>
          <w:spacing w:val="0"/>
          <w:szCs w:val="24"/>
          <w:rtl/>
        </w:rPr>
        <w:t>"מעולם לא נתגלעה מחלוקת בדבר ריבונותה הבלתי מוגבלת של הכנסת ובלבד שהיא אינה סותרת ציוויים מפורשים של האספה המכוננת, כפי שאלו באים לידי ביטוי בחוקי היסוד"</w:t>
      </w:r>
      <w:r w:rsidRPr="00643EF4">
        <w:rPr>
          <w:rFonts w:ascii="FrankRuehl" w:hAnsi="FrankRuehl"/>
          <w:b/>
          <w:spacing w:val="0"/>
          <w:sz w:val="26"/>
          <w:rtl/>
        </w:rPr>
        <w:t xml:space="preserve"> </w:t>
      </w:r>
      <w:r w:rsidRPr="00643EF4">
        <w:rPr>
          <w:rtl/>
        </w:rPr>
        <w:t xml:space="preserve">(סעיף 187 לתגובה המקדמית מטעם הממשלה). </w:t>
      </w:r>
    </w:p>
    <w:p w14:paraId="57924D5B" w14:textId="77777777" w:rsidR="0062781A" w:rsidRPr="00643EF4" w:rsidRDefault="0062781A" w:rsidP="0062781A">
      <w:pPr>
        <w:pStyle w:val="Ruller41"/>
        <w:rPr>
          <w:rFonts w:ascii="FrankRuehl" w:hAnsi="FrankRuehl"/>
          <w:b/>
          <w:spacing w:val="0"/>
          <w:sz w:val="26"/>
          <w:rtl/>
        </w:rPr>
      </w:pPr>
    </w:p>
    <w:p w14:paraId="22AE8F86" w14:textId="77777777" w:rsidR="0062781A" w:rsidRPr="00643EF4" w:rsidRDefault="0062781A" w:rsidP="0062781A">
      <w:pPr>
        <w:pStyle w:val="Ruller41"/>
        <w:rPr>
          <w:rtl/>
        </w:rPr>
      </w:pPr>
      <w:r w:rsidRPr="00643EF4">
        <w:rPr>
          <w:rtl/>
        </w:rPr>
        <w:t>6</w:t>
      </w:r>
      <w:r w:rsidRPr="00643EF4">
        <w:rPr>
          <w:rFonts w:ascii="FrankRuehl" w:hAnsi="FrankRuehl"/>
          <w:b/>
          <w:spacing w:val="0"/>
          <w:sz w:val="26"/>
          <w:rtl/>
        </w:rPr>
        <w:t>.</w:t>
      </w:r>
      <w:r w:rsidRPr="00643EF4">
        <w:rPr>
          <w:rFonts w:ascii="FrankRuehl" w:hAnsi="FrankRuehl"/>
          <w:b/>
          <w:spacing w:val="0"/>
          <w:sz w:val="26"/>
          <w:rtl/>
        </w:rPr>
        <w:tab/>
      </w:r>
      <w:r w:rsidRPr="00643EF4">
        <w:rPr>
          <w:rFonts w:ascii="Miriam" w:hAnsi="Miriam" w:cs="Miriam"/>
          <w:b/>
          <w:spacing w:val="0"/>
          <w:szCs w:val="24"/>
          <w:rtl/>
        </w:rPr>
        <w:t>"במבט כולל ניתן לומר כי עד כה לא נפסקה הלכה מפורשת בשאלת היקף תחולתם של חוקי-היסוד, וכי הדין הקיים מהווה הכלאה של פתרונות אד-הוק יותר מאשר כלל שיטתי"</w:t>
      </w:r>
      <w:r w:rsidRPr="00643EF4">
        <w:rPr>
          <w:rFonts w:ascii="FrankRuehl" w:hAnsi="FrankRuehl"/>
          <w:b/>
          <w:spacing w:val="0"/>
          <w:sz w:val="26"/>
          <w:rtl/>
        </w:rPr>
        <w:t xml:space="preserve"> </w:t>
      </w:r>
      <w:r w:rsidRPr="00643EF4">
        <w:rPr>
          <w:rtl/>
        </w:rPr>
        <w:t>(ליאב אורגד "חוקה של מי ובעבור מי? על היקף תחולתם של חוקי-היסוד"</w:t>
      </w:r>
      <w:r w:rsidRPr="00643EF4">
        <w:rPr>
          <w:rFonts w:ascii="FrankRuehl" w:hAnsi="FrankRuehl"/>
          <w:b/>
          <w:spacing w:val="0"/>
          <w:sz w:val="26"/>
          <w:rtl/>
        </w:rPr>
        <w:t xml:space="preserve"> </w:t>
      </w:r>
      <w:r w:rsidRPr="00643EF4">
        <w:rPr>
          <w:rFonts w:ascii="Miriam" w:hAnsi="Miriam" w:cs="Miriam"/>
          <w:b/>
          <w:spacing w:val="0"/>
          <w:szCs w:val="24"/>
          <w:rtl/>
        </w:rPr>
        <w:t>משפט וממשל</w:t>
      </w:r>
      <w:r w:rsidRPr="00643EF4">
        <w:rPr>
          <w:rFonts w:ascii="FrankRuehl" w:hAnsi="FrankRuehl"/>
          <w:b/>
          <w:spacing w:val="0"/>
          <w:sz w:val="26"/>
          <w:rtl/>
        </w:rPr>
        <w:t xml:space="preserve"> </w:t>
      </w:r>
      <w:r w:rsidRPr="00643EF4">
        <w:rPr>
          <w:rtl/>
        </w:rPr>
        <w:t xml:space="preserve">יב 145, 173 (2010)). שאלת תחולתם החוץ-טריטוריאלית של חוקי-היסוד עשויה להתעורר בהקשרים שונים (שם, עמוד 174), ובהמשך לקו הזהיר שנקטה הפסיקה בהקשר זה עד כה, גם אנו איננו צריכים לטעת מסמרות באופן גורף. דיינו באשר מונח לפנינו, ודומני כי ההכרעה כמעט ברורה מאליה. אם מבקשות הכנסת והממשלה לטעון – וכאמור, טענה זו מקובלת עלי – כי כוחה וגבורתה של הכנסת לחוקק מלא עולם, וכי חקיקה זו לעולם גוברת על הוראות הדין הבינלאומי, אזי המסקנה המתחייבת היא כי חוקיה של הכנסת, בכל מקום שהם, כפופים לחוקי-היסוד. אין זה מתקבל על הדעת, כי </w:t>
      </w:r>
      <w:r w:rsidRPr="00643EF4">
        <w:rPr>
          <w:rtl/>
        </w:rPr>
        <w:lastRenderedPageBreak/>
        <w:t xml:space="preserve">הכנסת תהא משוחררת מכל חסם נורמטיבי דווקא ביחס לאזור יהודה ושומרון, המוחזק על-ידי מדינת ישראל בתפיסה לוחמתית; אדרבה ואדרבה. הסמכות לחוקק גוררת עמה כ'משקולת', מיניה וביה, את חוקי-היסוד, ובאשר ילך החוק </w:t>
      </w:r>
      <w:bookmarkStart w:id="6" w:name="_Hlk38874411"/>
      <w:r w:rsidRPr="00643EF4">
        <w:rPr>
          <w:rtl/>
        </w:rPr>
        <w:t>–</w:t>
      </w:r>
      <w:bookmarkEnd w:id="6"/>
      <w:r w:rsidRPr="00643EF4">
        <w:rPr>
          <w:rtl/>
        </w:rPr>
        <w:t xml:space="preserve"> ילכו גם חוקי-היסוד. בצדק קובעת אפוא חברתי, כי </w:t>
      </w:r>
      <w:r w:rsidRPr="00643EF4">
        <w:rPr>
          <w:rFonts w:ascii="Miriam" w:hAnsi="Miriam" w:cs="Miriam"/>
          <w:b/>
          <w:spacing w:val="0"/>
          <w:szCs w:val="24"/>
          <w:rtl/>
        </w:rPr>
        <w:t>"כוחה של הכנסת לחוקק מותווה ומוגבל על-ידי חוקי היסוד"</w:t>
      </w:r>
      <w:r w:rsidRPr="00643EF4">
        <w:rPr>
          <w:rtl/>
        </w:rPr>
        <w:t xml:space="preserve"> (פסקה 32 לחוות דעתה).   </w:t>
      </w:r>
    </w:p>
    <w:p w14:paraId="1DC4DE00" w14:textId="77777777" w:rsidR="0062781A" w:rsidRPr="00643EF4" w:rsidRDefault="0062781A" w:rsidP="0062781A">
      <w:pPr>
        <w:pStyle w:val="Ruller41"/>
        <w:rPr>
          <w:rFonts w:ascii="Century" w:hAnsi="Century" w:cs="Miriam"/>
          <w:b/>
          <w:spacing w:val="0"/>
          <w:szCs w:val="24"/>
          <w:rtl/>
        </w:rPr>
      </w:pPr>
    </w:p>
    <w:p w14:paraId="24856312" w14:textId="5B0AAD21" w:rsidR="0062781A" w:rsidRPr="00643EF4" w:rsidRDefault="0062781A" w:rsidP="0062781A">
      <w:pPr>
        <w:pStyle w:val="Ruller41"/>
        <w:spacing w:line="480" w:lineRule="auto"/>
        <w:rPr>
          <w:rFonts w:ascii="Miriam" w:hAnsi="Miriam" w:cs="Miriam"/>
          <w:sz w:val="18"/>
          <w:szCs w:val="24"/>
          <w:rtl/>
        </w:rPr>
      </w:pPr>
      <w:r w:rsidRPr="00643EF4">
        <w:rPr>
          <w:rFonts w:ascii="Century" w:hAnsi="Century" w:cs="Miriam"/>
          <w:b/>
          <w:spacing w:val="0"/>
          <w:szCs w:val="24"/>
          <w:rtl/>
        </w:rPr>
        <w:t xml:space="preserve">חוק ההסדרה </w:t>
      </w:r>
      <w:r w:rsidRPr="00643EF4">
        <w:rPr>
          <w:rFonts w:ascii="Century" w:hAnsi="Century"/>
          <w:rtl/>
        </w:rPr>
        <w:t>–</w:t>
      </w:r>
      <w:r w:rsidRPr="00643EF4">
        <w:rPr>
          <w:rFonts w:ascii="Century" w:hAnsi="Century" w:cs="Miriam"/>
          <w:b/>
          <w:spacing w:val="0"/>
          <w:szCs w:val="24"/>
          <w:rtl/>
        </w:rPr>
        <w:t xml:space="preserve"> בחינה חוקתית</w:t>
      </w:r>
    </w:p>
    <w:p w14:paraId="43A0AEA5" w14:textId="5AD5CB4D" w:rsidR="0043011E" w:rsidRPr="00643EF4" w:rsidRDefault="0043011E" w:rsidP="0062781A">
      <w:pPr>
        <w:pStyle w:val="Ruller41"/>
        <w:spacing w:line="480" w:lineRule="auto"/>
        <w:rPr>
          <w:rFonts w:ascii="Miriam" w:hAnsi="Miriam" w:cs="Miriam"/>
          <w:sz w:val="4"/>
          <w:szCs w:val="10"/>
          <w:rtl/>
        </w:rPr>
      </w:pPr>
      <w:r w:rsidRPr="00643EF4">
        <w:rPr>
          <w:rFonts w:ascii="Miriam" w:hAnsi="Miriam" w:cs="Miriam"/>
          <w:sz w:val="18"/>
          <w:szCs w:val="24"/>
          <w:rtl/>
        </w:rPr>
        <w:softHyphen/>
      </w:r>
    </w:p>
    <w:p w14:paraId="2C365E71" w14:textId="77777777" w:rsidR="0062781A" w:rsidRPr="00643EF4" w:rsidRDefault="0062781A" w:rsidP="0062781A">
      <w:pPr>
        <w:pStyle w:val="Ruller41"/>
        <w:rPr>
          <w:rtl/>
        </w:rPr>
      </w:pPr>
      <w:r w:rsidRPr="00643EF4">
        <w:rPr>
          <w:rtl/>
        </w:rPr>
        <w:t>7.</w:t>
      </w:r>
      <w:r w:rsidRPr="00643EF4">
        <w:rPr>
          <w:rtl/>
        </w:rPr>
        <w:tab/>
        <w:t xml:space="preserve">בראשית דברַי ציינתי את המורכבות העובדתית והמשפטית, שהולידה את חוק ההסדרה. מורכבות זו, יסודה בארבעה נדבכים מרכזיים: מעורבותן של רשויות המדינה בבנייה הבלתי חוקית ביהודה ושומרון; </w:t>
      </w:r>
      <w:r w:rsidRPr="00643EF4">
        <w:rPr>
          <w:rFonts w:ascii="FrankRuehl" w:hAnsi="FrankRuehl"/>
          <w:rtl/>
        </w:rPr>
        <w:t>אופיו הפוליטי-מדיני</w:t>
      </w:r>
      <w:r w:rsidRPr="00643EF4">
        <w:rPr>
          <w:rFonts w:ascii="FrankRuehl" w:hAnsi="FrankRuehl"/>
          <w:sz w:val="26"/>
          <w:szCs w:val="32"/>
          <w:rtl/>
        </w:rPr>
        <w:t xml:space="preserve"> </w:t>
      </w:r>
      <w:r w:rsidRPr="00643EF4">
        <w:rPr>
          <w:rtl/>
        </w:rPr>
        <w:t>של חוק ההסדרה; הכּשל המובנה בשוק הקרקעות ביהודה ושומרון; ועבודתו של 'צוות קו כחול'. בטרם נבחן את חוקתיותו של חוק ההסדרה, מוכרחים אנו לעמוד על ארבעת הנדבכים הללו. רק לאחר שנעשה כן, יוכלו הדברים להתברר מתוך הקשרם הנכון.</w:t>
      </w:r>
    </w:p>
    <w:p w14:paraId="3CD1D1AB" w14:textId="77777777" w:rsidR="0062781A" w:rsidRPr="00643EF4" w:rsidRDefault="0062781A" w:rsidP="0062781A">
      <w:pPr>
        <w:pStyle w:val="Ruller41"/>
        <w:rPr>
          <w:rtl/>
        </w:rPr>
      </w:pPr>
    </w:p>
    <w:p w14:paraId="586564F0" w14:textId="77777777" w:rsidR="0062781A" w:rsidRPr="00643EF4" w:rsidRDefault="0062781A" w:rsidP="0062781A">
      <w:pPr>
        <w:pStyle w:val="Ruller41"/>
        <w:rPr>
          <w:rtl/>
        </w:rPr>
      </w:pPr>
      <w:r w:rsidRPr="00643EF4">
        <w:rPr>
          <w:rtl/>
        </w:rPr>
        <w:t>8.</w:t>
      </w:r>
      <w:r w:rsidRPr="00643EF4">
        <w:rPr>
          <w:rtl/>
        </w:rPr>
        <w:tab/>
      </w:r>
      <w:r w:rsidRPr="003024CC">
        <w:rPr>
          <w:rFonts w:ascii="Century" w:hAnsi="Century" w:cs="Miriam"/>
          <w:b/>
          <w:spacing w:val="0"/>
          <w:szCs w:val="24"/>
          <w:u w:val="single"/>
          <w:rtl/>
        </w:rPr>
        <w:t>מעורבות רשויות המדינה</w:t>
      </w:r>
      <w:r w:rsidRPr="00643EF4">
        <w:rPr>
          <w:rtl/>
        </w:rPr>
        <w:t xml:space="preserve"> – בשונה ממצב דברים 'רגיל' של בנייה בלתי</w:t>
      </w:r>
      <w:r w:rsidRPr="00643EF4">
        <w:rPr>
          <w:rFonts w:hint="cs"/>
          <w:rtl/>
        </w:rPr>
        <w:t>-</w:t>
      </w:r>
      <w:r w:rsidRPr="00643EF4">
        <w:rPr>
          <w:rtl/>
        </w:rPr>
        <w:t>חוקית, תופעה מוכרת היטב בבתי המשפט השונים על ערכאותיהם, הבנייה הבלתי-חוקית ביהודה ושומרון, רובה ככולה, נעשתה במהלך השנים בתמיכה ובעידוד – ישירים או עקיפים – של רשויות השלטון השונות במדינת ישראל. על מנת להבין עד כמה עמוקה היתה מעורבות זו, די להפנות לשני הדו"חות המרכזיים שנכתבו בסוגיה – דו"ח המאחזים משנת 2005 (שנכתב על-ידי עו"ד טליה ששון), והדו"ח על מעמד הבניה באזור יהודה ושומרון משנת 2012 (שנכתב על-ידי שופט בית המשפט העליון (בדימוס), אדמונד לוי (יו"ר); שופטת בית המשפט המחוזי (בדימוס), תחיה שפירא; והשגריר ד"ר אלן בייקר, היועץ המשפטי לשעבר של משרד החוץ). לא כאן המקום להאריך בהשוואה בין הדו"חות, נאמר אך זאת: דו"ח ששון ודו"ח לוי בחנו ובדקו אותה סוגיה בדיוק – הבנייה הבלתי חוקית ביהודה ושומרון – אולם 'מנגינתם' שונה, וכך גם מסקנותיהם. חרף הפערים המהותיים, ב'מנגינה' ובמסקנות, אלו ואלו, זו וזה, הסכימו על עובדה מרכזית אחת: כמעט לאורך כל הדרך היו רשויות המדינה השונות מעורבות באופן פעיל בבנייה הבלתי-חוקית, ולמצער מוּדעוֹת לה. כך תוארו הדברים בדו"ח לוי (ההדגשות במקור):</w:t>
      </w:r>
    </w:p>
    <w:p w14:paraId="44DE2088" w14:textId="77777777" w:rsidR="0062781A" w:rsidRPr="00643EF4" w:rsidRDefault="0062781A" w:rsidP="0062781A">
      <w:pPr>
        <w:pStyle w:val="Ruller41"/>
        <w:rPr>
          <w:rtl/>
        </w:rPr>
      </w:pPr>
    </w:p>
    <w:p w14:paraId="1892D6FA" w14:textId="77777777" w:rsidR="0062781A" w:rsidRPr="00643EF4" w:rsidRDefault="0062781A" w:rsidP="0062781A">
      <w:pPr>
        <w:pStyle w:val="Ruller41"/>
        <w:ind w:left="567" w:right="567"/>
        <w:rPr>
          <w:rFonts w:ascii="Century" w:hAnsi="Century" w:cs="Miriam"/>
          <w:b/>
          <w:spacing w:val="0"/>
          <w:szCs w:val="24"/>
          <w:rtl/>
        </w:rPr>
      </w:pPr>
      <w:r w:rsidRPr="00643EF4">
        <w:rPr>
          <w:rFonts w:ascii="Century" w:hAnsi="Century" w:cs="Miriam"/>
          <w:b/>
          <w:spacing w:val="0"/>
          <w:szCs w:val="24"/>
          <w:rtl/>
        </w:rPr>
        <w:t xml:space="preserve">"לא נעלמה מעינינו העובדה כי בחלוף השנים, ונוכח הביקורת שנשמעה מבית ומחוץ על מעשה ההתיישבות באיו"ש, מיהרו אחדים מאלה הנמנים על 'הדרג המדיני' הבכיר להתנער ממנו. אולם, מהנתונים שהצטברו בפנינו, ונוכח הדברים שציטטנו, שוב אין ספק כי ההתיישבות </w:t>
      </w:r>
      <w:r w:rsidRPr="00643EF4">
        <w:rPr>
          <w:rFonts w:ascii="Century" w:hAnsi="Century" w:cs="Miriam"/>
          <w:b/>
          <w:spacing w:val="0"/>
          <w:szCs w:val="24"/>
          <w:u w:val="single"/>
          <w:rtl/>
        </w:rPr>
        <w:t xml:space="preserve">נעשתה בידיעת </w:t>
      </w:r>
      <w:r w:rsidRPr="003024CC">
        <w:rPr>
          <w:rFonts w:ascii="Century" w:hAnsi="Century" w:cs="Miriam"/>
          <w:b/>
          <w:spacing w:val="0"/>
          <w:szCs w:val="24"/>
          <w:u w:val="single"/>
          <w:rtl/>
        </w:rPr>
        <w:t xml:space="preserve">הכל </w:t>
      </w:r>
      <w:r w:rsidRPr="003024CC">
        <w:rPr>
          <w:rFonts w:ascii="Century" w:hAnsi="Century"/>
          <w:u w:val="single"/>
          <w:rtl/>
        </w:rPr>
        <w:t>–</w:t>
      </w:r>
      <w:r w:rsidRPr="003024CC">
        <w:rPr>
          <w:rFonts w:ascii="Century" w:hAnsi="Century" w:cs="Miriam"/>
          <w:b/>
          <w:spacing w:val="0"/>
          <w:szCs w:val="24"/>
          <w:u w:val="single"/>
          <w:rtl/>
        </w:rPr>
        <w:t xml:space="preserve"> החל</w:t>
      </w:r>
      <w:r w:rsidRPr="00643EF4">
        <w:rPr>
          <w:rFonts w:ascii="Century" w:hAnsi="Century" w:cs="Miriam"/>
          <w:b/>
          <w:spacing w:val="0"/>
          <w:szCs w:val="24"/>
          <w:u w:val="single"/>
          <w:rtl/>
        </w:rPr>
        <w:t xml:space="preserve"> בשרי הממשלה ומי שעמד בראשם, ועד אחרון דרגי הביצוע</w:t>
      </w:r>
      <w:r w:rsidRPr="00643EF4">
        <w:rPr>
          <w:rFonts w:ascii="Century" w:hAnsi="Century" w:cs="Miriam"/>
          <w:b/>
          <w:spacing w:val="0"/>
          <w:szCs w:val="24"/>
          <w:rtl/>
        </w:rPr>
        <w:t xml:space="preserve">, וההתכחשות לה מטרתה היתה אחת </w:t>
      </w:r>
      <w:r w:rsidRPr="00643EF4">
        <w:rPr>
          <w:rFonts w:ascii="Century" w:hAnsi="Century"/>
          <w:rtl/>
        </w:rPr>
        <w:t>–</w:t>
      </w:r>
      <w:r w:rsidRPr="00643EF4">
        <w:rPr>
          <w:rFonts w:ascii="Century" w:hAnsi="Century" w:cs="Miriam"/>
          <w:b/>
          <w:spacing w:val="0"/>
          <w:szCs w:val="24"/>
          <w:rtl/>
        </w:rPr>
        <w:t xml:space="preserve"> להדוף את הביקורת שהשמיעו גורמים שונים, בעיקר בינלאומיים. </w:t>
      </w:r>
      <w:r w:rsidRPr="00643EF4">
        <w:rPr>
          <w:rFonts w:ascii="Century" w:hAnsi="Century" w:cs="Miriam"/>
          <w:b/>
          <w:spacing w:val="0"/>
          <w:szCs w:val="24"/>
          <w:rtl/>
        </w:rPr>
        <w:lastRenderedPageBreak/>
        <w:t>לעניין זה נראה כי אין טוב יותר מאשר לצטט מתוך הדו"ח שערכה עו"ד ששון (</w:t>
      </w:r>
      <w:r w:rsidRPr="00643EF4">
        <w:rPr>
          <w:rFonts w:ascii="Century" w:hAnsi="Century" w:cs="Miriam"/>
          <w:b/>
          <w:spacing w:val="0"/>
          <w:szCs w:val="24"/>
          <w:u w:val="single"/>
          <w:rtl/>
        </w:rPr>
        <w:t>ממנו אנו מסתייגים ככל שהוא מייחס אשמה למתיישבים</w:t>
      </w:r>
      <w:r w:rsidRPr="00643EF4">
        <w:rPr>
          <w:rFonts w:ascii="Century" w:hAnsi="Century" w:cs="Miriam"/>
          <w:b/>
          <w:spacing w:val="0"/>
          <w:szCs w:val="24"/>
          <w:rtl/>
        </w:rPr>
        <w:t>), כדי לתאר את האווירה ששררה באותם ימים:</w:t>
      </w:r>
    </w:p>
    <w:p w14:paraId="544DF8EE" w14:textId="77777777" w:rsidR="0062781A" w:rsidRPr="00643EF4" w:rsidRDefault="0062781A" w:rsidP="0062781A">
      <w:pPr>
        <w:pStyle w:val="Ruller41"/>
        <w:ind w:right="1134"/>
        <w:rPr>
          <w:rFonts w:ascii="Century" w:hAnsi="Century" w:cs="Miriam"/>
          <w:b/>
          <w:spacing w:val="0"/>
          <w:szCs w:val="24"/>
          <w:rtl/>
        </w:rPr>
      </w:pPr>
      <w:r w:rsidRPr="00643EF4">
        <w:rPr>
          <w:rFonts w:ascii="Century" w:hAnsi="Century" w:cs="Miriam"/>
          <w:b/>
          <w:spacing w:val="0"/>
          <w:szCs w:val="24"/>
          <w:rtl/>
        </w:rPr>
        <w:tab/>
      </w:r>
    </w:p>
    <w:p w14:paraId="4E53A092" w14:textId="77777777" w:rsidR="0062781A" w:rsidRPr="00643EF4" w:rsidRDefault="0062781A" w:rsidP="0062781A">
      <w:pPr>
        <w:pStyle w:val="Ruller41"/>
        <w:ind w:left="907" w:right="1021"/>
        <w:rPr>
          <w:rFonts w:ascii="Century" w:hAnsi="Century" w:cs="Miriam"/>
          <w:b/>
          <w:spacing w:val="0"/>
          <w:szCs w:val="24"/>
          <w:rtl/>
        </w:rPr>
      </w:pPr>
      <w:r w:rsidRPr="00643EF4">
        <w:rPr>
          <w:rFonts w:ascii="Century" w:hAnsi="Century" w:cs="Miriam"/>
          <w:b/>
          <w:spacing w:val="0"/>
          <w:szCs w:val="24"/>
          <w:rtl/>
        </w:rPr>
        <w:t xml:space="preserve">'מדינת ישראל מממנת, לפחות חלק מהקמת המאחזים הבלתי חוקיים; המינהל האזרחי מעלים עין זה שנים מהרחבות של שכונות שלמות בסמוך ושלא בסמוך ליישובים, ללא תוכנית מפורטת כדין; לא מקיים פיקוח על הבניה שם; לא מדווח כאשר נדרש לדווח על המאחזים בתואנות של הגדרות מהו מאחז, וטוען להיעדר מידע על מאחזים, בין השאר מחמת הגבלות הפיקוח שהחיל על עצמו בתחום היישובים; קרוונים מקבלים לעיתים ממשרד הביטחון היתר כניסה לאיו"ש גם אם אין בסיס משפטי תכנוני ליעד המבוקש להצבתם; עוזר שר הביטחון להתיישבות מאשר לרשויות המדינה כי מאחזים בלתי מורשים הם יישובים לכל דבר ועניין בעוד שר הביטחון מצהיר עליהם פומבית שהם בלתי מורשים; צווי הריסה שהוצאו לאלפים משך השנים לא בוצעו; המאחזים הלכו והתרבו ולא מוציאים צווי תיחום שטח, אף לא לגבי אותם מאחזים המצויים ברשימת מרץ 2001 לגביהם יש התחייבות מדינית ישראלית </w:t>
      </w:r>
      <w:r w:rsidRPr="00643EF4">
        <w:rPr>
          <w:rFonts w:ascii="Century" w:hAnsi="Century"/>
          <w:rtl/>
        </w:rPr>
        <w:t>–</w:t>
      </w:r>
      <w:r w:rsidRPr="00643EF4">
        <w:rPr>
          <w:rFonts w:ascii="Century" w:hAnsi="Century" w:cs="Miriam"/>
          <w:b/>
          <w:spacing w:val="0"/>
          <w:szCs w:val="24"/>
          <w:rtl/>
        </w:rPr>
        <w:t xml:space="preserve"> לפנות; צווי תיחום שכבר הוצאו ואושרו בבג"ץ לא מומשו... הפועל היוצא מכל אלה הוא העברת מסר שתפיסת הקרקעות להקמת מאחזים, והקמתם, על אף שאינם חוקיים וזאת יודעים הכל </w:t>
      </w:r>
      <w:r w:rsidRPr="00643EF4">
        <w:rPr>
          <w:rFonts w:ascii="Century" w:hAnsi="Century"/>
          <w:rtl/>
        </w:rPr>
        <w:t>–</w:t>
      </w:r>
      <w:r w:rsidRPr="00643EF4">
        <w:rPr>
          <w:rFonts w:ascii="Century" w:hAnsi="Century" w:cs="Miriam"/>
          <w:b/>
          <w:spacing w:val="0"/>
          <w:szCs w:val="24"/>
          <w:rtl/>
        </w:rPr>
        <w:t xml:space="preserve"> הם מעשים חיוביים, ולכל הפחות </w:t>
      </w:r>
      <w:r w:rsidRPr="00643EF4">
        <w:rPr>
          <w:rFonts w:ascii="Century" w:hAnsi="Century"/>
          <w:rtl/>
        </w:rPr>
        <w:t>–</w:t>
      </w:r>
      <w:r w:rsidRPr="00643EF4">
        <w:rPr>
          <w:rFonts w:ascii="Century" w:hAnsi="Century" w:cs="Miriam"/>
          <w:b/>
          <w:spacing w:val="0"/>
          <w:szCs w:val="24"/>
          <w:rtl/>
        </w:rPr>
        <w:t xml:space="preserve"> אינם נוראיים. אין זו עבירה 'רגילה'... במלים אחרות </w:t>
      </w:r>
      <w:r w:rsidRPr="00643EF4">
        <w:rPr>
          <w:rFonts w:ascii="Century" w:hAnsi="Century"/>
          <w:rtl/>
        </w:rPr>
        <w:t>–</w:t>
      </w:r>
      <w:r w:rsidRPr="00643EF4">
        <w:rPr>
          <w:rFonts w:ascii="Century" w:hAnsi="Century" w:cs="Miriam"/>
          <w:b/>
          <w:spacing w:val="0"/>
          <w:szCs w:val="24"/>
          <w:rtl/>
        </w:rPr>
        <w:t xml:space="preserve"> הפרת החוק הפכה ממוסדת ומוסדית. אין לנו עניין עם עבריין או קבוצת עבריינים הפועלים בניגוד לחוק. התמונה הנגלית לעין המתבונן היא הפרת חוק בוטה </w:t>
      </w:r>
      <w:r w:rsidRPr="00643EF4">
        <w:rPr>
          <w:rFonts w:ascii="Century" w:hAnsi="Century" w:cs="Miriam"/>
          <w:b/>
          <w:spacing w:val="0"/>
          <w:szCs w:val="24"/>
          <w:u w:val="single"/>
          <w:rtl/>
        </w:rPr>
        <w:t>על ידי משרדי ממשלה, רשויות ציבוריות, מועצות אזוריות באיו"ש ומתנחלים, הכל תוך הצגת מראית עין כאילו יש כאן מערכת מוסדית מסודרת הפועלת כחוק'</w:t>
      </w:r>
      <w:r w:rsidRPr="00643EF4">
        <w:rPr>
          <w:rFonts w:ascii="Century" w:hAnsi="Century" w:cs="Miriam"/>
          <w:b/>
          <w:spacing w:val="0"/>
          <w:szCs w:val="24"/>
          <w:rtl/>
        </w:rPr>
        <w:t>.</w:t>
      </w:r>
    </w:p>
    <w:p w14:paraId="7943E045" w14:textId="77777777" w:rsidR="0062781A" w:rsidRPr="00643EF4" w:rsidRDefault="0062781A" w:rsidP="0062781A">
      <w:pPr>
        <w:pStyle w:val="Ruller41"/>
        <w:ind w:left="907" w:right="-907"/>
        <w:rPr>
          <w:rFonts w:ascii="Century" w:hAnsi="Century" w:cs="Miriam"/>
          <w:b/>
          <w:spacing w:val="0"/>
          <w:szCs w:val="24"/>
          <w:rtl/>
        </w:rPr>
      </w:pPr>
    </w:p>
    <w:p w14:paraId="3BFFB219" w14:textId="77777777" w:rsidR="0062781A" w:rsidRPr="00643EF4" w:rsidRDefault="0062781A" w:rsidP="0062781A">
      <w:pPr>
        <w:pStyle w:val="Ruller41"/>
        <w:ind w:left="567" w:right="567"/>
        <w:rPr>
          <w:rFonts w:ascii="Miriam" w:hAnsi="Miriam" w:cs="Miriam"/>
          <w:sz w:val="18"/>
          <w:szCs w:val="24"/>
          <w:rtl/>
        </w:rPr>
      </w:pPr>
      <w:r w:rsidRPr="00643EF4">
        <w:rPr>
          <w:rFonts w:ascii="Century" w:hAnsi="Century" w:cs="Miriam"/>
          <w:b/>
          <w:spacing w:val="0"/>
          <w:szCs w:val="24"/>
          <w:rtl/>
        </w:rPr>
        <w:t>לאותה התנהלות של הממשלה ושלוחיה נודעו מספר תוצאות: אותם ישובים/שכונות שהוקמו הוגדרו כ'בלתי מורשים'; היכולת להתפתח ולו כדי לענות על הריבוי הטבעי, כמו גם האפשרות לפתור בעיות בסיסיות בתחומי התשתיות והשירותים השונים, נמנעה מהם; ותושביהם הפכו על-כורחם ל'עברייני בנייה' ו'משיגי גבול' בקרקע שאת תמורת הזכויות בה מימנו רבים מהם מכיסם, ובאמצעות הלוואות שנטלו מבנקים לאחר שהתקבל אישור המדינה לכך"</w:t>
      </w:r>
      <w:r w:rsidRPr="00643EF4">
        <w:rPr>
          <w:rFonts w:ascii="Miriam" w:hAnsi="Miriam" w:cs="Miriam"/>
          <w:sz w:val="18"/>
          <w:szCs w:val="24"/>
          <w:rtl/>
        </w:rPr>
        <w:t xml:space="preserve"> </w:t>
      </w:r>
      <w:r w:rsidRPr="00643EF4">
        <w:rPr>
          <w:rFonts w:ascii="FrankRuehl" w:hAnsi="FrankRuehl"/>
          <w:rtl/>
        </w:rPr>
        <w:t>(עמודים 54-53 לדו"ח לוי).</w:t>
      </w:r>
    </w:p>
    <w:p w14:paraId="5B604CCF" w14:textId="77777777" w:rsidR="0062781A" w:rsidRPr="00643EF4" w:rsidRDefault="0062781A" w:rsidP="0062781A">
      <w:pPr>
        <w:pStyle w:val="Ruller41"/>
        <w:rPr>
          <w:rtl/>
        </w:rPr>
      </w:pPr>
    </w:p>
    <w:p w14:paraId="186F9857" w14:textId="77777777" w:rsidR="0062781A" w:rsidRPr="00643EF4" w:rsidRDefault="0062781A" w:rsidP="0062781A">
      <w:pPr>
        <w:pStyle w:val="Ruller41"/>
        <w:rPr>
          <w:rtl/>
        </w:rPr>
      </w:pPr>
      <w:r w:rsidRPr="00643EF4">
        <w:rPr>
          <w:rtl/>
        </w:rPr>
        <w:tab/>
        <w:t>וכן על זו הדרך, בחלק הסיכום של דו"ח ששון (ההדגשה הוספה – נ' ס'):</w:t>
      </w:r>
    </w:p>
    <w:p w14:paraId="0C33EDBE" w14:textId="77777777" w:rsidR="0062781A" w:rsidRPr="00643EF4" w:rsidRDefault="0062781A" w:rsidP="0062781A">
      <w:pPr>
        <w:pStyle w:val="Ruller41"/>
        <w:rPr>
          <w:rtl/>
        </w:rPr>
      </w:pPr>
    </w:p>
    <w:p w14:paraId="3F3444FA" w14:textId="77777777" w:rsidR="0062781A" w:rsidRPr="00643EF4" w:rsidRDefault="0062781A" w:rsidP="0062781A">
      <w:pPr>
        <w:pStyle w:val="Ruller41"/>
        <w:ind w:left="567" w:right="567"/>
        <w:rPr>
          <w:rtl/>
        </w:rPr>
      </w:pPr>
      <w:r w:rsidRPr="00643EF4">
        <w:rPr>
          <w:rFonts w:ascii="Century" w:hAnsi="Century" w:cs="Miriam"/>
          <w:b/>
          <w:spacing w:val="0"/>
          <w:szCs w:val="24"/>
          <w:rtl/>
        </w:rPr>
        <w:t xml:space="preserve">"רשויות המדינה מדברות בשני קולות. לעיתים מאשרות ולעיתים מונעות. הכללים הפכו גמישים. יד אחת פועלת להקמת המאחזים והאחרת משקיעה </w:t>
      </w:r>
      <w:r w:rsidRPr="00643EF4">
        <w:rPr>
          <w:rFonts w:ascii="Century" w:hAnsi="Century" w:cs="Miriam"/>
          <w:b/>
          <w:spacing w:val="0"/>
          <w:szCs w:val="24"/>
          <w:rtl/>
        </w:rPr>
        <w:lastRenderedPageBreak/>
        <w:t xml:space="preserve">משאבים וכוחות בפינויים. </w:t>
      </w:r>
      <w:r w:rsidRPr="00643EF4">
        <w:rPr>
          <w:rFonts w:ascii="Century" w:hAnsi="Century" w:cs="Miriam"/>
          <w:b/>
          <w:spacing w:val="0"/>
          <w:szCs w:val="24"/>
          <w:u w:val="single"/>
          <w:rtl/>
        </w:rPr>
        <w:t>מעשים אלו לא נעשו בידי יחידים בלבד. הקושי המיוחד טמון בכך שרשויות המדינה ורשויות ציבוריות הן שנטלו חלק בהפרות החוק</w:t>
      </w:r>
      <w:r w:rsidRPr="00643EF4">
        <w:rPr>
          <w:rFonts w:ascii="Century" w:hAnsi="Century" w:cs="Miriam"/>
          <w:b/>
          <w:spacing w:val="0"/>
          <w:szCs w:val="24"/>
          <w:rtl/>
        </w:rPr>
        <w:t xml:space="preserve">. הן שמימנו בניה בקרקע ללא החלטות של הדרג המדיני וזאת בניגוד להחלטות הממשלה, ללא תוכנית סטאטוס תכנוני כדין, ופעמים </w:t>
      </w:r>
      <w:r w:rsidRPr="00643EF4">
        <w:rPr>
          <w:rFonts w:ascii="Century" w:hAnsi="Century"/>
          <w:rtl/>
        </w:rPr>
        <w:t>–</w:t>
      </w:r>
      <w:r w:rsidRPr="00643EF4">
        <w:rPr>
          <w:rFonts w:ascii="Century" w:hAnsi="Century" w:cs="Miriam"/>
          <w:b/>
          <w:spacing w:val="0"/>
          <w:szCs w:val="24"/>
          <w:rtl/>
        </w:rPr>
        <w:t xml:space="preserve"> בקרקעות שאינן אדמות מדינה, ובחלקן קרקעות פרטיות של פלסטינים. רשויות המדינה ורשויות ציבוריות </w:t>
      </w:r>
      <w:r w:rsidRPr="00643EF4">
        <w:rPr>
          <w:rFonts w:ascii="Century" w:hAnsi="Century"/>
          <w:rtl/>
        </w:rPr>
        <w:t>–</w:t>
      </w:r>
      <w:r w:rsidRPr="00643EF4">
        <w:rPr>
          <w:rFonts w:ascii="Century" w:hAnsi="Century" w:cs="Miriam"/>
          <w:b/>
          <w:spacing w:val="0"/>
          <w:szCs w:val="24"/>
          <w:rtl/>
        </w:rPr>
        <w:t xml:space="preserve"> הן שהפרו את החוק, הכללים, והנהלים שקבעה המדינה עצמה"</w:t>
      </w:r>
      <w:r w:rsidRPr="00643EF4">
        <w:rPr>
          <w:rtl/>
        </w:rPr>
        <w:t xml:space="preserve"> (עמוד 341 לדו"ח ששון).      </w:t>
      </w:r>
    </w:p>
    <w:p w14:paraId="5346F214" w14:textId="77777777" w:rsidR="0062781A" w:rsidRPr="00643EF4" w:rsidRDefault="0062781A" w:rsidP="0062781A">
      <w:pPr>
        <w:pStyle w:val="Ruller41"/>
        <w:rPr>
          <w:rtl/>
        </w:rPr>
      </w:pPr>
    </w:p>
    <w:p w14:paraId="63C1B923" w14:textId="77777777" w:rsidR="0062781A" w:rsidRPr="00643EF4" w:rsidRDefault="0062781A" w:rsidP="0062781A">
      <w:pPr>
        <w:pStyle w:val="Ruller41"/>
        <w:rPr>
          <w:rtl/>
        </w:rPr>
      </w:pPr>
      <w:r w:rsidRPr="00643EF4">
        <w:rPr>
          <w:rtl/>
        </w:rPr>
        <w:t>9.</w:t>
      </w:r>
      <w:r w:rsidRPr="00643EF4">
        <w:rPr>
          <w:rtl/>
        </w:rPr>
        <w:tab/>
        <w:t xml:space="preserve">הדברים מדברים בעד עצמם, ולחובת רשויות המדינה. כפי שצוין גם בדו"ח לוי, התנהלות שכזו של רשויות שלטוניות, תמיכה ועידוד של בנייה בניגוד לחוק, לאורך שנים, אינה לתפארת מדינת ישראל. מכל מקום, תהא מורת רוחנו מהתנהלות זו כאשר תהא, אין הדבר משנה מן העובדה שמעורבות זו יצרה במהלך השנים מציאות בשטח, בהיקף רחב מאד, וממנה לא ניתן להתעלם. אף זאת יש לזכור – והדברים פורטו באריכות בדו"ח לוי – התנהלותן של רשויות המדינה נבעה במידה רבה מאד מן המורכבות הפוליטית בזירה הבין-לאומית, שהיתה (ועודנה) כרוכה בהקמה או הרחבה של התיישבות ישראלית ביהודה ושומרון. מורכבות זו, מובילה אותנו אל הנדבך השני המייחד את חוק ההסדרה. </w:t>
      </w:r>
    </w:p>
    <w:p w14:paraId="19E865AF" w14:textId="77777777" w:rsidR="0062781A" w:rsidRPr="00643EF4" w:rsidRDefault="0062781A" w:rsidP="0062781A">
      <w:pPr>
        <w:pStyle w:val="Ruller41"/>
        <w:rPr>
          <w:rtl/>
        </w:rPr>
      </w:pPr>
    </w:p>
    <w:p w14:paraId="0391A89E" w14:textId="77777777" w:rsidR="0062781A" w:rsidRPr="00643EF4" w:rsidRDefault="0062781A" w:rsidP="0062781A">
      <w:pPr>
        <w:pStyle w:val="Ruller41"/>
        <w:tabs>
          <w:tab w:val="left" w:pos="5863"/>
        </w:tabs>
        <w:rPr>
          <w:rtl/>
        </w:rPr>
      </w:pPr>
      <w:r w:rsidRPr="00643EF4">
        <w:rPr>
          <w:rtl/>
        </w:rPr>
        <w:t>10.</w:t>
      </w:r>
      <w:r w:rsidRPr="00643EF4">
        <w:rPr>
          <w:rtl/>
        </w:rPr>
        <w:tab/>
      </w:r>
      <w:r w:rsidRPr="003024CC">
        <w:rPr>
          <w:rFonts w:ascii="Century" w:hAnsi="Century" w:cs="Miriam"/>
          <w:b/>
          <w:spacing w:val="0"/>
          <w:szCs w:val="24"/>
          <w:u w:val="single"/>
          <w:rtl/>
        </w:rPr>
        <w:t>אופיו הפוליטי-מדיני של חוק ההסדרה</w:t>
      </w:r>
      <w:r w:rsidRPr="00643EF4">
        <w:rPr>
          <w:rFonts w:ascii="Century" w:hAnsi="Century" w:cs="Miriam"/>
          <w:b/>
          <w:spacing w:val="0"/>
          <w:szCs w:val="24"/>
          <w:rtl/>
        </w:rPr>
        <w:t xml:space="preserve"> </w:t>
      </w:r>
      <w:r w:rsidRPr="00643EF4">
        <w:rPr>
          <w:rFonts w:ascii="Century" w:hAnsi="Century"/>
          <w:rtl/>
        </w:rPr>
        <w:t>–</w:t>
      </w:r>
      <w:r w:rsidRPr="00643EF4">
        <w:rPr>
          <w:rFonts w:ascii="Century" w:hAnsi="Century" w:cs="Miriam"/>
          <w:b/>
          <w:spacing w:val="0"/>
          <w:szCs w:val="24"/>
          <w:rtl/>
        </w:rPr>
        <w:t xml:space="preserve"> "אילו היה מדובר בסכסוך רגיל בין בעל קרקע לפולש ככל הנראה לא היה צורך בחוק ההסדרה, אלא שחוק ההסדרה נוגע בנימים הרגישים ביותר של המחלוקת הפוליטית והמדינית ביחס לשטחי יהודה ושומרון"</w:t>
      </w:r>
      <w:r w:rsidRPr="00643EF4">
        <w:rPr>
          <w:rtl/>
        </w:rPr>
        <w:t xml:space="preserve"> (סעיף 59 לתגובה המקדמית מטעם הכנסת). שלא ככל סכסוכי השכנים המוכרים לנו מן המשפט האזרחי ה'רגיל', 'סכסוך השכנים' שעומד ברקע לחקיקתו של חוק ההסדרה איננו מסוג הסכסוכים שבית המשפט יכול או מתיימר להכריע בהם. אכן, חוק ההסדרה אינו שוקל שיקולים משפטיים גרידא; בד בבד נשקלו בחקיקתו גם – ואולי בעיקר – שיקולים מדיניים-פוליטיים. </w:t>
      </w:r>
      <w:r w:rsidRPr="00643EF4">
        <w:rPr>
          <w:rFonts w:ascii="Century" w:hAnsi="Century" w:cs="Miriam"/>
          <w:b/>
          <w:spacing w:val="0"/>
          <w:szCs w:val="24"/>
          <w:rtl/>
        </w:rPr>
        <w:t>"בבסיס החוק עומדת ההנחה כי פינוי התיישבות ישראלית, בנסיבות המסוימות הקבועות בחוק, הוא בעל השלכות מדיניות רחבות שיש להימנע מהן"</w:t>
      </w:r>
      <w:r w:rsidRPr="00643EF4">
        <w:rPr>
          <w:rtl/>
        </w:rPr>
        <w:t xml:space="preserve"> (סעיף 99 לתגובה המקדמית מטעם הממשלה). ניתן דעתנו: 3,455 מבנים – מבני מגורים ומוסדות ציבור – מצויים כיום לכאורה על קרקע פרטית פלסטינית וטעונים הסדרה (כך על-פי נתוני המינהל האזרחי שהציגה לפנינו הממשלה בתגובתה המקדמית; מש/2). קשה להפריז במשמעות המדינית שנודעת לפינוי והריסה בסדר גודל שכזה, באזור שמעמדו המדיני שנוי במחלוקת עזה מזה עשרות בשנים, בינינו לבין עצמנו, ובינינו לבין אומות העולם (לשם השוואה, במסגרת תוכנית ההתנתקות פונו מבתיהן 1,750 משפחות; א' וייסבלאי, א' טל וא' לוטן "שנתיים להתנתקות – תמונת מצב" מרכז המחקר והמידע של הכנסת, יולי 2007).</w:t>
      </w:r>
    </w:p>
    <w:p w14:paraId="05FE782A" w14:textId="77777777" w:rsidR="0062781A" w:rsidRPr="00643EF4" w:rsidRDefault="0062781A" w:rsidP="0062781A">
      <w:pPr>
        <w:pStyle w:val="Ruller41"/>
        <w:tabs>
          <w:tab w:val="left" w:pos="5863"/>
        </w:tabs>
        <w:rPr>
          <w:rtl/>
        </w:rPr>
      </w:pPr>
    </w:p>
    <w:p w14:paraId="0E5490AB" w14:textId="77777777" w:rsidR="0062781A" w:rsidRPr="00643EF4" w:rsidRDefault="0062781A" w:rsidP="0062781A">
      <w:pPr>
        <w:pStyle w:val="Ruller41"/>
        <w:tabs>
          <w:tab w:val="left" w:pos="5863"/>
        </w:tabs>
        <w:rPr>
          <w:rtl/>
        </w:rPr>
      </w:pPr>
      <w:r w:rsidRPr="00643EF4">
        <w:rPr>
          <w:rtl/>
        </w:rPr>
        <w:lastRenderedPageBreak/>
        <w:t>11.</w:t>
      </w:r>
      <w:r w:rsidRPr="00643EF4">
        <w:rPr>
          <w:rtl/>
        </w:rPr>
        <w:tab/>
        <w:t xml:space="preserve">ודוק: אופיו הפוליטי הדומיננטי של חוק ההסדרה, אינו שולל את שפיטותו. עמד על כך הנשיא (בדימוס) </w:t>
      </w:r>
      <w:r w:rsidRPr="00643EF4">
        <w:rPr>
          <w:rFonts w:ascii="Century" w:hAnsi="Century" w:cs="Miriam"/>
          <w:b/>
          <w:spacing w:val="0"/>
          <w:szCs w:val="24"/>
          <w:rtl/>
        </w:rPr>
        <w:t>מ' לנדוי</w:t>
      </w:r>
      <w:r w:rsidRPr="00643EF4">
        <w:rPr>
          <w:rtl/>
        </w:rPr>
        <w:t>, לפני למעלה מ-40 שנה, באחד מפסקי הדין היסודיים שניתנו בסוגיית ההתיישבות הישראלית ביהודה ושומרון. דבריו נאמרו לגבי שפיטותה של החלטת ממשלה; על שפיטותה של חקיקה ראשית לא דובר אז, אך מכל מקום הם יפים בהשאלה לענייננו (לא בטוח שעל דעת המשאיל...):</w:t>
      </w:r>
    </w:p>
    <w:p w14:paraId="5D3EA671" w14:textId="77777777" w:rsidR="0062781A" w:rsidRPr="00643EF4" w:rsidRDefault="0062781A" w:rsidP="0062781A">
      <w:pPr>
        <w:pStyle w:val="Ruller41"/>
        <w:tabs>
          <w:tab w:val="left" w:pos="5863"/>
        </w:tabs>
        <w:rPr>
          <w:rtl/>
        </w:rPr>
      </w:pPr>
    </w:p>
    <w:p w14:paraId="47843157" w14:textId="77777777" w:rsidR="0062781A" w:rsidRPr="00643EF4" w:rsidRDefault="0062781A" w:rsidP="0062781A">
      <w:pPr>
        <w:pStyle w:val="Ruller41"/>
        <w:tabs>
          <w:tab w:val="left" w:pos="5863"/>
        </w:tabs>
        <w:ind w:left="567" w:right="567"/>
        <w:rPr>
          <w:rtl/>
        </w:rPr>
      </w:pPr>
      <w:r w:rsidRPr="00643EF4">
        <w:rPr>
          <w:rFonts w:ascii="Century" w:hAnsi="Century" w:cs="Miriam"/>
          <w:b/>
          <w:spacing w:val="0"/>
          <w:szCs w:val="24"/>
          <w:rtl/>
        </w:rPr>
        <w:t xml:space="preserve">"בעניין בית אל נאמר [...] בקשר לשפיטות הסוגיה הזאת, כי בעיית ההתנחלויות 'שנויה במחלוקת בין ממשלת ישראל ובין ממשלות אחרות, ושהיא עשויה לעמוד על הפרק במשא ומתן בינלאומי גורלי שבו עומדת ממשלת ישראל'. בינתיים לא פגה חריפות המחלוקת בזירה הבינלאומית; ולא עוד אלא היא החריפה גם בציבור הישראלי פנימה [...] רב החשש שבית-המשפט יראה כאילו נטש את מקומו הראוי לו וירד אל תוך זירת הוויכוח הציבורי, ושהחלטתו תתקבל על-ידי חלק מן הציבור בתשואות ועל-ידי חלקו האחר בדחייה גמורה ונרגשת. במובן זה אני רואה עצמי כאן, כמי שחובתו לפסוק על-פי הדין בכל ענין המובא לפני בית-משפט כדין, היא דווקא כופה עלי הר כגיגית, ביודעי היטב מראש שהציבור הרחב לא ישים לבו להנמקה המשפטית אלא למסקנה הסופית בלבד ובית-המשפט בתור מוסד עלול להיפגע במעמדו הראוי לו, מעל למחלוקות המפלגות את הציבור. אך מה נעשה וזה תפקידנו וזו חובתנו כשופטים" </w:t>
      </w:r>
      <w:r w:rsidRPr="00643EF4">
        <w:rPr>
          <w:rtl/>
        </w:rPr>
        <w:t>(בג"ץ 390/79</w:t>
      </w:r>
      <w:r w:rsidRPr="00643EF4">
        <w:rPr>
          <w:rFonts w:ascii="Century" w:hAnsi="Century" w:cs="Miriam"/>
          <w:b/>
          <w:spacing w:val="0"/>
          <w:szCs w:val="24"/>
          <w:rtl/>
        </w:rPr>
        <w:t xml:space="preserve"> דויקאת נ' ממשלת ישראל</w:t>
      </w:r>
      <w:r w:rsidRPr="00643EF4">
        <w:rPr>
          <w:rtl/>
        </w:rPr>
        <w:t>, פ"ד לד(1) 1, 2 (1979)).</w:t>
      </w:r>
    </w:p>
    <w:p w14:paraId="3565ACD9" w14:textId="77777777" w:rsidR="0062781A" w:rsidRPr="00643EF4" w:rsidRDefault="0062781A" w:rsidP="0062781A">
      <w:pPr>
        <w:pStyle w:val="Ruller41"/>
        <w:tabs>
          <w:tab w:val="left" w:pos="5863"/>
        </w:tabs>
        <w:rPr>
          <w:rtl/>
        </w:rPr>
      </w:pPr>
      <w:r w:rsidRPr="00643EF4">
        <w:rPr>
          <w:rtl/>
        </w:rPr>
        <w:tab/>
      </w:r>
    </w:p>
    <w:p w14:paraId="18A4DD4C" w14:textId="77777777" w:rsidR="0062781A" w:rsidRPr="00643EF4" w:rsidRDefault="0062781A" w:rsidP="0062781A">
      <w:pPr>
        <w:pStyle w:val="Ruller41"/>
        <w:tabs>
          <w:tab w:val="left" w:pos="5863"/>
        </w:tabs>
        <w:rPr>
          <w:rtl/>
        </w:rPr>
      </w:pPr>
      <w:r w:rsidRPr="00643EF4">
        <w:rPr>
          <w:rtl/>
        </w:rPr>
        <w:tab/>
        <w:t>וכאז כן עתה. דברי הנשיא (בדימוס)</w:t>
      </w:r>
      <w:r w:rsidRPr="00643EF4">
        <w:rPr>
          <w:rFonts w:ascii="Century" w:hAnsi="Century" w:cs="Miriam"/>
          <w:b/>
          <w:spacing w:val="0"/>
          <w:szCs w:val="24"/>
          <w:rtl/>
        </w:rPr>
        <w:t xml:space="preserve"> מ' לנדוי</w:t>
      </w:r>
      <w:r w:rsidRPr="00643EF4">
        <w:rPr>
          <w:rtl/>
        </w:rPr>
        <w:t>, על החשש והקושי הכרוכים בדיון משפטי לגבי סוגיות פוליטיות שנויות במחלוקת – יפים לשעתם, ויפים לדורות.</w:t>
      </w:r>
      <w:r w:rsidRPr="00643EF4">
        <w:rPr>
          <w:rFonts w:hint="cs"/>
          <w:rtl/>
        </w:rPr>
        <w:t xml:space="preserve"> אף אני חושש לעירוב התחומין שבין פוליטיקה למשפט, להיקלע לטלטלה שבין ימין ושמאל; וכדי להוכיח שמילאתי את חובתי לפסוק על-פי הדין, אבקש לשים לב להנמקה המשפטית, לא פחות מאשר למסקנה הסופית.</w:t>
      </w:r>
    </w:p>
    <w:p w14:paraId="07CA65A2" w14:textId="77777777" w:rsidR="0062781A" w:rsidRPr="00643EF4" w:rsidRDefault="0062781A" w:rsidP="0062781A">
      <w:pPr>
        <w:pStyle w:val="Ruller41"/>
        <w:tabs>
          <w:tab w:val="left" w:pos="5863"/>
        </w:tabs>
        <w:rPr>
          <w:rtl/>
        </w:rPr>
      </w:pPr>
    </w:p>
    <w:p w14:paraId="7AA9B417" w14:textId="77777777" w:rsidR="0062781A" w:rsidRPr="00643EF4" w:rsidRDefault="0062781A" w:rsidP="0062781A">
      <w:pPr>
        <w:pStyle w:val="Ruller41"/>
        <w:tabs>
          <w:tab w:val="left" w:pos="5863"/>
        </w:tabs>
        <w:rPr>
          <w:rtl/>
        </w:rPr>
      </w:pPr>
      <w:r w:rsidRPr="00643EF4">
        <w:rPr>
          <w:rtl/>
        </w:rPr>
        <w:t>12.</w:t>
      </w:r>
      <w:r w:rsidRPr="00643EF4">
        <w:rPr>
          <w:rtl/>
        </w:rPr>
        <w:tab/>
        <w:t xml:space="preserve">פגיעתו של חוק ההסדרה בזכויות חוקתיות, כפי שפירטה חברתי הנשיאה וכפי שאפרט אני להלן, מחייבת ביקורת שיפוטית. אולם אופיו הפוליטי של חוק ההסדרה, מחייב אותנו לזהירות יתרה בביקורת זו. מדי דבּרנו בחוק ההסדרה, זכור נזכור כי להכרעתנו המשפטית, נודעת משמעות רחבה וכבדת-משקל במישור הפוליטי-מדיני. גם בכך מתבטא יחודו של חוק ההסדרה. </w:t>
      </w:r>
    </w:p>
    <w:p w14:paraId="5B6ED80E" w14:textId="77777777" w:rsidR="0062781A" w:rsidRPr="00643EF4" w:rsidRDefault="0062781A" w:rsidP="0062781A">
      <w:pPr>
        <w:pStyle w:val="Ruller41"/>
        <w:tabs>
          <w:tab w:val="left" w:pos="5863"/>
        </w:tabs>
        <w:rPr>
          <w:rtl/>
        </w:rPr>
      </w:pPr>
    </w:p>
    <w:p w14:paraId="46637B1C" w14:textId="77777777" w:rsidR="0062781A" w:rsidRPr="00643EF4" w:rsidRDefault="0062781A" w:rsidP="0062781A">
      <w:pPr>
        <w:pStyle w:val="Ruller41"/>
        <w:tabs>
          <w:tab w:val="left" w:pos="5863"/>
        </w:tabs>
        <w:rPr>
          <w:rtl/>
        </w:rPr>
      </w:pPr>
      <w:r w:rsidRPr="00643EF4">
        <w:rPr>
          <w:rtl/>
        </w:rPr>
        <w:t>13.</w:t>
      </w:r>
      <w:r w:rsidRPr="00643EF4">
        <w:rPr>
          <w:rtl/>
        </w:rPr>
        <w:tab/>
      </w:r>
      <w:r w:rsidRPr="003024CC">
        <w:rPr>
          <w:rFonts w:ascii="Century" w:hAnsi="Century" w:cs="Miriam"/>
          <w:b/>
          <w:spacing w:val="0"/>
          <w:szCs w:val="24"/>
          <w:u w:val="single"/>
          <w:rtl/>
        </w:rPr>
        <w:t>הכשל המובנה בשוק הקרקעות ביהודה ושומרון</w:t>
      </w:r>
      <w:r w:rsidRPr="00643EF4">
        <w:rPr>
          <w:rFonts w:ascii="Century" w:hAnsi="Century" w:cs="Miriam"/>
          <w:b/>
          <w:spacing w:val="0"/>
          <w:szCs w:val="24"/>
          <w:rtl/>
        </w:rPr>
        <w:t xml:space="preserve"> </w:t>
      </w:r>
      <w:r w:rsidRPr="00643EF4">
        <w:rPr>
          <w:rtl/>
        </w:rPr>
        <w:t>– הנדבך השלישי עניינו ב'כשל שוק' המאפיין את שוק המקרקעין ביהודה ושומרון. אמרתי 'כשל שוק', אך זהו כמדומני ביטוי 'מכובס' לעובדה שמכירת קרקעות בבעלות פלסטינית ליהודים אסורה על-פי חוק ברשות הפלסטינית, ודינה – מאסר עולם ועבודות פרך. חברתי הנשיאה דחתה את טענת הממשלה בהקשר זה, מחמת ש</w:t>
      </w:r>
      <w:r w:rsidRPr="00643EF4">
        <w:rPr>
          <w:rFonts w:ascii="Century" w:hAnsi="Century" w:cs="Miriam"/>
          <w:b/>
          <w:spacing w:val="0"/>
          <w:szCs w:val="24"/>
          <w:rtl/>
        </w:rPr>
        <w:t xml:space="preserve">"לא הובאו בפנינו נתונים כלשהם... באשר לתופעה לפיה </w:t>
      </w:r>
      <w:r w:rsidRPr="00643EF4">
        <w:rPr>
          <w:rFonts w:ascii="Century" w:hAnsi="Century" w:cs="Miriam"/>
          <w:b/>
          <w:spacing w:val="0"/>
          <w:szCs w:val="24"/>
          <w:rtl/>
        </w:rPr>
        <w:lastRenderedPageBreak/>
        <w:t>ישנם תושבים פלסטינים המעוניינים למכור את זכויותיהם במקרקעין, אך אינם עושים כן בשל איסורים החלים עליהם בהקשר זה"</w:t>
      </w:r>
      <w:r w:rsidRPr="00643EF4">
        <w:rPr>
          <w:rtl/>
        </w:rPr>
        <w:t xml:space="preserve"> (פסקה 62 לחוות דעתה). אמנם כן, לא בנקל ניתן להציג נתונים ברורים בהקשר זה, והטעמים לכך, כמדומני, מובנים. מכל מקום, עצם קיומה של התופעה הוא מן המפורסמות שאינן צריכות ראיה, וגם היקפה דומה שאיננו מבוטל. ואף שאינן צריכות ראיה, פטור בלא כלום אי-אפשר. ראוי לעמוד על כמה ראיות כאלו, שיש בהן כדי ללמדנו על היקפה וחומרתה של התופעה.  </w:t>
      </w:r>
    </w:p>
    <w:p w14:paraId="7176BBD5" w14:textId="77777777" w:rsidR="0062781A" w:rsidRPr="00643EF4" w:rsidRDefault="0062781A" w:rsidP="0062781A">
      <w:pPr>
        <w:pStyle w:val="Ruller41"/>
        <w:tabs>
          <w:tab w:val="left" w:pos="5863"/>
        </w:tabs>
        <w:rPr>
          <w:rtl/>
        </w:rPr>
      </w:pPr>
    </w:p>
    <w:p w14:paraId="7310D256" w14:textId="5CFE9131" w:rsidR="0062781A" w:rsidRPr="00643EF4" w:rsidRDefault="0062781A" w:rsidP="0062781A">
      <w:pPr>
        <w:pStyle w:val="Ruller41"/>
        <w:tabs>
          <w:tab w:val="left" w:pos="5863"/>
        </w:tabs>
        <w:rPr>
          <w:rtl/>
        </w:rPr>
      </w:pPr>
      <w:r w:rsidRPr="00643EF4">
        <w:rPr>
          <w:rtl/>
        </w:rPr>
        <w:t>14.</w:t>
      </w:r>
      <w:r w:rsidRPr="00643EF4">
        <w:rPr>
          <w:rtl/>
        </w:rPr>
        <w:tab/>
        <w:t xml:space="preserve">האיסור ברשות הפלסטינית על מכירת קרקעות ליהודים איננו חדש עמנו. בנספח 7 לתגובתה המקדמית, הציגה הממשלה שאילתה שהופנתה בשנת 2009 לשר המשפטים דאז, יעקב נאמן. נושא השאילתה: 'גזר דין מוות על מכירת קרקע ליהודים'. בתשובה לשאילתה הובאה התייחסותו של מנהל המחלקה הבינלאומית בפרקליטות המדינה, עו"ד גל לברטוב, ואלו דבריו: </w:t>
      </w:r>
      <w:r w:rsidRPr="00643EF4">
        <w:rPr>
          <w:rFonts w:ascii="Century" w:hAnsi="Century" w:cs="Miriam"/>
          <w:b/>
          <w:spacing w:val="0"/>
          <w:szCs w:val="24"/>
          <w:rtl/>
        </w:rPr>
        <w:t>"ככל הידוע, בשנת 1997 הודיע יו"ר המועצה המחוקקת הפלסטינית כי זו דנה בטיוטת חוק העוסק בקביעת כללים לגבי מכירת קרקעות ובהטלת עונשים על מי שמעורב במכירת קרקעות לישראלים. במקביל, בהודעות פומביות של התובע הכללי הפלסטיני, הודיע, כי מכירת קרקעות פלסטיניות מהווה בגידה שעונשה מוות. לא ברור עדיין אם מדובר במכירת קרקעות ליהודים או לישראלים בלבד, או שמא לזרים בכלל. הנושא מערב היבטים מדיניים ומטופל במישור זה על ידי משרד החוץ"</w:t>
      </w:r>
      <w:r w:rsidRPr="00643EF4">
        <w:rPr>
          <w:rtl/>
        </w:rPr>
        <w:t>. בשנת 2010 פורסם, כי בית משפט ברשות הפלסטינית קבע שמכירת קרקעות בבעלות פלסטינית לישראלים, דינה – מוות. בהצהרה שפרסם התובע הכללי הפלסטיני בעקבות פסיקה זו נאמר, כי מטרתה להגן על הפרויקט הלאומי הפלסטיני (</w:t>
      </w:r>
      <w:r w:rsidRPr="00643EF4">
        <w:rPr>
          <w:rStyle w:val="reference-text"/>
          <w:rFonts w:asciiTheme="majorBidi" w:eastAsiaTheme="majorEastAsia" w:hAnsiTheme="majorBidi"/>
          <w:sz w:val="24"/>
          <w:szCs w:val="24"/>
          <w:shd w:val="clear" w:color="auto" w:fill="FFFFFF"/>
        </w:rPr>
        <w:t xml:space="preserve">PA Court: Sale of Palestinian Land to Israelis Is Punishable By Death, Haaretz Service (September 20, 2010) </w:t>
      </w:r>
      <w:r w:rsidRPr="00643EF4">
        <w:rPr>
          <w:rFonts w:asciiTheme="majorBidi" w:hAnsiTheme="majorBidi" w:cstheme="majorBidi"/>
          <w:sz w:val="24"/>
          <w:szCs w:val="24"/>
        </w:rPr>
        <w:t>https://www.haaretz.com/1.5115464</w:t>
      </w:r>
      <w:r w:rsidRPr="00643EF4">
        <w:rPr>
          <w:rtl/>
        </w:rPr>
        <w:t>).</w:t>
      </w:r>
    </w:p>
    <w:p w14:paraId="67622619" w14:textId="77777777" w:rsidR="0062781A" w:rsidRPr="00643EF4" w:rsidRDefault="0062781A" w:rsidP="0062781A">
      <w:pPr>
        <w:pStyle w:val="Ruller41"/>
        <w:tabs>
          <w:tab w:val="left" w:pos="5863"/>
        </w:tabs>
        <w:rPr>
          <w:rtl/>
        </w:rPr>
      </w:pPr>
    </w:p>
    <w:p w14:paraId="3B5C8CD6" w14:textId="29064F6E" w:rsidR="0062781A" w:rsidRPr="00643EF4" w:rsidRDefault="0062781A" w:rsidP="0062781A">
      <w:pPr>
        <w:pStyle w:val="Ruller41"/>
        <w:tabs>
          <w:tab w:val="left" w:pos="5863"/>
        </w:tabs>
        <w:rPr>
          <w:rtl/>
        </w:rPr>
      </w:pPr>
      <w:r w:rsidRPr="00643EF4">
        <w:rPr>
          <w:rtl/>
        </w:rPr>
        <w:t>15.</w:t>
      </w:r>
      <w:r w:rsidRPr="00643EF4">
        <w:rPr>
          <w:rtl/>
        </w:rPr>
        <w:tab/>
        <w:t xml:space="preserve">לא מכבר, בדצמבר 2018, הורשע תושב מזרח ירושלים בבית המשפט הגבוה לעניינים פליליים ברמאללה במכירת קרקעות ליהודים, ונגזר עליו עונש של מאסר עולם ועבודות פרך ('הרשות הפלסטינית גזרה מאסר עולם על תושב מזרח ירושלים שמכר קרקעות ליהודים', ג'קי חורי (31 בדצמבר 2018) </w:t>
      </w:r>
      <w:r w:rsidRPr="00643EF4">
        <w:rPr>
          <w:rFonts w:asciiTheme="majorBidi" w:hAnsiTheme="majorBidi" w:cstheme="majorBidi"/>
          <w:sz w:val="24"/>
          <w:szCs w:val="30"/>
        </w:rPr>
        <w:t>https://www.haaretz.co.il/news/politics/1.6801986</w:t>
      </w:r>
      <w:r w:rsidRPr="00643EF4">
        <w:rPr>
          <w:rtl/>
        </w:rPr>
        <w:t xml:space="preserve">). הרשעה זו באה על רקע הסלמה ב'מלחמת קרקעות', שבמסגרתה עצרו הפלסטינים 44 אנשים שהואשמו במכירת קרקעות בבעלות פלסטינית ליהודים. מבין העצורים, כך דוּוח, שלושה כבר נשפטו ונשלחו למאסר של 15 שנים עם עבודות פרך. כמו כן דוּוח, כי מנגנון הביטחון המסכל הפלסטיני ברמאללה פרסם הודעה חריגה, ולפיה הצליחו אנשיו לסכל מכירת 3,000 דונם קרקע בבעלות פלסטינית ליהודים במחוזות שונים, ובהם מזרח ירושלים, רמאללה, שכם, חברון, קלקיליה וסלפית ('הפלסטינים: סיכלנו מכירת 3,000 דונם ליהודים', אליאור לוי (23 בדצמבר 2018) </w:t>
      </w:r>
      <w:r w:rsidRPr="00643EF4">
        <w:rPr>
          <w:rFonts w:asciiTheme="majorBidi" w:hAnsiTheme="majorBidi" w:cstheme="majorBidi"/>
          <w:sz w:val="24"/>
          <w:szCs w:val="30"/>
        </w:rPr>
        <w:t>https://www.ynet.co.il/articles/0,7340,L-5431906,00.html</w:t>
      </w:r>
      <w:r w:rsidRPr="00643EF4">
        <w:rPr>
          <w:rtl/>
        </w:rPr>
        <w:t xml:space="preserve">).    </w:t>
      </w:r>
    </w:p>
    <w:p w14:paraId="6893BBF7" w14:textId="77777777" w:rsidR="0062781A" w:rsidRPr="00643EF4" w:rsidRDefault="0062781A" w:rsidP="0062781A">
      <w:pPr>
        <w:pStyle w:val="Ruller41"/>
        <w:tabs>
          <w:tab w:val="left" w:pos="5863"/>
        </w:tabs>
        <w:rPr>
          <w:rtl/>
        </w:rPr>
      </w:pPr>
    </w:p>
    <w:p w14:paraId="069EE4DA" w14:textId="77777777" w:rsidR="0062781A" w:rsidRPr="00643EF4" w:rsidRDefault="0062781A" w:rsidP="0062781A">
      <w:pPr>
        <w:pStyle w:val="Ruller41"/>
        <w:tabs>
          <w:tab w:val="left" w:pos="5863"/>
        </w:tabs>
        <w:rPr>
          <w:rtl/>
        </w:rPr>
      </w:pPr>
      <w:r w:rsidRPr="00643EF4">
        <w:rPr>
          <w:rtl/>
        </w:rPr>
        <w:lastRenderedPageBreak/>
        <w:t>16.</w:t>
      </w:r>
      <w:r w:rsidRPr="00643EF4">
        <w:rPr>
          <w:rtl/>
        </w:rPr>
        <w:tab/>
        <w:t xml:space="preserve">עדות נוספת לגורלו הצפוי של המוכר קרקעות ליהודים, מצינו בהגבלות המוטלות על עיון במרשם המקרקעין באזור. ברע"א 2505/16 </w:t>
      </w:r>
      <w:r w:rsidRPr="00643EF4">
        <w:rPr>
          <w:rFonts w:ascii="Century" w:hAnsi="Century" w:cs="Miriam"/>
          <w:b/>
          <w:spacing w:val="0"/>
          <w:szCs w:val="24"/>
          <w:rtl/>
        </w:rPr>
        <w:t>אנג'ל נ' המינהל האזרחי ביהודה ושומרון</w:t>
      </w:r>
      <w:r w:rsidRPr="00643EF4">
        <w:rPr>
          <w:rtl/>
        </w:rPr>
        <w:t xml:space="preserve"> (22.12.2016), נדונה בקשה לעיון במרשם המקרקעין באזור יהודה ושומרון, וצוטטו דבריה של ד"ר ר' לוין-שנור (שהיא גם אחת מן המבקשות להצטרף לעתירות דנן), באשר להגיונן של ההגבלות המוטלות על העיון במרשם זה:</w:t>
      </w:r>
    </w:p>
    <w:p w14:paraId="18BE24D0" w14:textId="77777777" w:rsidR="0062781A" w:rsidRPr="00643EF4" w:rsidRDefault="0062781A" w:rsidP="0062781A">
      <w:pPr>
        <w:pStyle w:val="Ruller41"/>
        <w:tabs>
          <w:tab w:val="left" w:pos="5863"/>
        </w:tabs>
        <w:rPr>
          <w:rtl/>
        </w:rPr>
      </w:pPr>
    </w:p>
    <w:p w14:paraId="5196FA15" w14:textId="77777777" w:rsidR="0062781A" w:rsidRPr="00643EF4" w:rsidRDefault="0062781A" w:rsidP="0062781A">
      <w:pPr>
        <w:shd w:val="clear" w:color="auto" w:fill="FFFFFF"/>
        <w:spacing w:line="360" w:lineRule="auto"/>
        <w:ind w:left="567" w:right="567"/>
        <w:jc w:val="both"/>
        <w:rPr>
          <w:rFonts w:cs="Times New Roman"/>
          <w:color w:val="000000"/>
          <w:szCs w:val="20"/>
          <w:rtl/>
        </w:rPr>
      </w:pPr>
      <w:r w:rsidRPr="00643EF4">
        <w:rPr>
          <w:rFonts w:ascii="Miriam" w:hAnsi="Miriam" w:cs="Miriam"/>
          <w:sz w:val="16"/>
          <w:rtl/>
        </w:rPr>
        <w:t>"</w:t>
      </w:r>
      <w:r w:rsidRPr="00643EF4">
        <w:rPr>
          <w:rFonts w:ascii="Miriam" w:hAnsi="Miriam" w:cs="Miriam"/>
          <w:color w:val="000000"/>
          <w:sz w:val="24"/>
          <w:rtl/>
        </w:rPr>
        <w:t>השגת נתונים על אודות היקף הפעילות במערכת רישום המקרקעין בגדה המערבית הינה משימה קשה. זאת, ראשית משום שהגישה הרווחת בקרב הפקידות הינה כי מידע על רישום המקרקעין עלול לחשוף קונים ומוכרים, המבצעים פעולות אלה חרף האיסור המקובל על מכירת קרקעות ליהודים, ומכאן לסכן חיי אדם. המינהל האזרחי מסרב להעביר מידע הקשור ברישומי קרקעות, אפילו כאשר מדובר בבקשות לקבלת נסחי רישום של מקרקעין מוסדרים, בטענה המוצהרת כי הדבר עשוי לפגוע בפרטיותם של המוכרים והרוכשים"</w:t>
      </w:r>
      <w:r w:rsidRPr="00643EF4">
        <w:rPr>
          <w:rFonts w:ascii="FrankRuehl" w:hAnsi="FrankRuehl"/>
          <w:color w:val="000000"/>
          <w:sz w:val="28"/>
          <w:rtl/>
        </w:rPr>
        <w:t xml:space="preserve"> </w:t>
      </w:r>
      <w:r w:rsidRPr="00643EF4">
        <w:rPr>
          <w:rFonts w:ascii="FrankRuehl" w:hAnsi="FrankRuehl" w:cs="FrankRuehl"/>
          <w:color w:val="000000"/>
          <w:spacing w:val="10"/>
          <w:sz w:val="28"/>
          <w:szCs w:val="28"/>
          <w:rtl/>
        </w:rPr>
        <w:t>(רונית לוין-שנור </w:t>
      </w:r>
      <w:r w:rsidRPr="00643EF4">
        <w:rPr>
          <w:rFonts w:ascii="Miriam" w:hAnsi="Miriam" w:cs="Miriam"/>
          <w:color w:val="000000"/>
          <w:sz w:val="24"/>
          <w:rtl/>
        </w:rPr>
        <w:t xml:space="preserve">דיני רישום מקרקעין </w:t>
      </w:r>
      <w:r w:rsidRPr="00643EF4">
        <w:rPr>
          <w:rFonts w:ascii="FrankRuehl" w:hAnsi="FrankRuehl" w:cs="FrankRuehl"/>
          <w:color w:val="000000"/>
          <w:sz w:val="28"/>
          <w:szCs w:val="28"/>
          <w:rtl/>
        </w:rPr>
        <w:t>–</w:t>
      </w:r>
      <w:r w:rsidRPr="00643EF4">
        <w:rPr>
          <w:rFonts w:ascii="Miriam" w:hAnsi="Miriam" w:cs="Miriam"/>
          <w:color w:val="000000"/>
          <w:sz w:val="24"/>
          <w:rtl/>
        </w:rPr>
        <w:t xml:space="preserve"> הרישום, ההסדר ותוצאותיהם בישראל והגדה המערבית</w:t>
      </w:r>
      <w:r w:rsidRPr="00643EF4">
        <w:rPr>
          <w:rFonts w:ascii="FrankRuehl" w:hAnsi="FrankRuehl" w:cs="FrankRuehl"/>
          <w:color w:val="000000"/>
          <w:spacing w:val="10"/>
          <w:sz w:val="28"/>
          <w:szCs w:val="28"/>
          <w:rtl/>
        </w:rPr>
        <w:t> 279 (2012)).</w:t>
      </w:r>
    </w:p>
    <w:p w14:paraId="2804CC26" w14:textId="77777777" w:rsidR="0062781A" w:rsidRPr="00643EF4" w:rsidRDefault="0062781A" w:rsidP="0062781A">
      <w:pPr>
        <w:shd w:val="clear" w:color="auto" w:fill="FFFFFF"/>
        <w:spacing w:line="360" w:lineRule="auto"/>
        <w:ind w:left="1440" w:right="1134"/>
        <w:jc w:val="both"/>
        <w:rPr>
          <w:rFonts w:cs="Times New Roman"/>
          <w:color w:val="000000"/>
          <w:szCs w:val="20"/>
          <w:rtl/>
        </w:rPr>
      </w:pPr>
    </w:p>
    <w:p w14:paraId="5B18A372" w14:textId="77777777" w:rsidR="0062781A" w:rsidRPr="00643EF4" w:rsidRDefault="0062781A" w:rsidP="0062781A">
      <w:pPr>
        <w:pStyle w:val="Ruller41"/>
        <w:tabs>
          <w:tab w:val="left" w:pos="5863"/>
        </w:tabs>
      </w:pPr>
      <w:r w:rsidRPr="00643EF4">
        <w:rPr>
          <w:rtl/>
        </w:rPr>
        <w:t>17.</w:t>
      </w:r>
      <w:r w:rsidRPr="00643EF4">
        <w:rPr>
          <w:rtl/>
        </w:rPr>
        <w:tab/>
        <w:t>גם בדיון שהתקיים במליאת בכנסת, עובר להצבעה על חוק ההסדרה בקריאה הראשונה, קיבלנו תזכורת לאיסור הנ"ל – לחטא ולעונשו. בין הדוברים שם, ח"כ עבד אל חכים חאג' יחיא מן הרשימה המשותפת, שהסביר מדוע ניסיונות לרכוש קרקע פרטית בכסף לא יצלחו:</w:t>
      </w:r>
      <w:r w:rsidRPr="00643EF4">
        <w:rPr>
          <w:rFonts w:ascii="Miriam" w:hAnsi="Miriam" w:cs="Miriam"/>
          <w:color w:val="000000"/>
          <w:spacing w:val="0"/>
          <w:sz w:val="24"/>
          <w:szCs w:val="24"/>
          <w:rtl/>
        </w:rPr>
        <w:t xml:space="preserve"> "אתם חושבים שמישהו ירצה לקבל אפילו את </w:t>
      </w:r>
      <w:bookmarkStart w:id="7" w:name="_ETM_Q58_346585"/>
      <w:bookmarkEnd w:id="7"/>
      <w:r w:rsidRPr="00643EF4">
        <w:rPr>
          <w:rFonts w:ascii="Miriam" w:hAnsi="Miriam" w:cs="Miriam"/>
          <w:color w:val="000000"/>
          <w:spacing w:val="0"/>
          <w:sz w:val="24"/>
          <w:szCs w:val="24"/>
          <w:rtl/>
        </w:rPr>
        <w:t xml:space="preserve">כל ההון שבעולם תמורת האדמות האלה? אז אתם טועים. אני אומר לכם, יש פסק הלכה אסלאמי, דתי, </w:t>
      </w:r>
      <w:bookmarkStart w:id="8" w:name="_ETM_Q58_346347"/>
      <w:bookmarkEnd w:id="8"/>
      <w:r w:rsidRPr="00643EF4">
        <w:rPr>
          <w:rFonts w:ascii="Miriam" w:hAnsi="Miriam" w:cs="Miriam"/>
          <w:color w:val="000000"/>
          <w:spacing w:val="0"/>
          <w:sz w:val="24"/>
          <w:szCs w:val="24"/>
          <w:rtl/>
        </w:rPr>
        <w:t>פתווה, שאומרת: אסור בהחלט למכור מטר אחד מהמולדת האסלאמית הפלסטינית הערבית"</w:t>
      </w:r>
      <w:r w:rsidRPr="00643EF4">
        <w:rPr>
          <w:rtl/>
        </w:rPr>
        <w:t xml:space="preserve">. לשאלת ח"כ בצלאל סמוטריץ' מה עונשו של מי שמוכר קרקע בבעלות פלסטינית, השיב ח"כ חאג' יחיא: </w:t>
      </w:r>
      <w:r w:rsidRPr="00643EF4">
        <w:rPr>
          <w:rFonts w:ascii="Miriam" w:hAnsi="Miriam" w:cs="Miriam"/>
          <w:color w:val="000000"/>
          <w:spacing w:val="0"/>
          <w:sz w:val="24"/>
          <w:szCs w:val="24"/>
          <w:rtl/>
        </w:rPr>
        <w:t>"אתה שואל אותי מה החוק? לפי החוק זה מוות, ומגיע לו. כן"</w:t>
      </w:r>
      <w:r w:rsidRPr="00643EF4">
        <w:rPr>
          <w:rtl/>
        </w:rPr>
        <w:t xml:space="preserve">. משהעיר לו ח"כ מאיר כהן, כי הוא מתיר את דמם של ערבים המוכרים קרקעות ליהודים, אמר ח"כ חאג' יחיא: </w:t>
      </w:r>
      <w:r w:rsidRPr="00643EF4">
        <w:rPr>
          <w:rFonts w:ascii="Miriam" w:hAnsi="Miriam" w:cs="Miriam"/>
          <w:color w:val="000000"/>
          <w:spacing w:val="0"/>
          <w:sz w:val="24"/>
          <w:szCs w:val="24"/>
          <w:rtl/>
        </w:rPr>
        <w:t>"אני לא מתיר. אמרתי:</w:t>
      </w:r>
      <w:r w:rsidRPr="00643EF4">
        <w:rPr>
          <w:rFonts w:ascii="Miriam" w:hAnsi="Miriam" w:cs="Miriam"/>
          <w:color w:val="000000"/>
          <w:spacing w:val="0"/>
          <w:sz w:val="24"/>
          <w:szCs w:val="24"/>
        </w:rPr>
        <w:t xml:space="preserve"> </w:t>
      </w:r>
      <w:r w:rsidRPr="00643EF4">
        <w:rPr>
          <w:rFonts w:ascii="Miriam" w:hAnsi="Miriam" w:cs="Miriam"/>
          <w:color w:val="000000"/>
          <w:spacing w:val="0"/>
          <w:sz w:val="24"/>
          <w:szCs w:val="24"/>
          <w:rtl/>
        </w:rPr>
        <w:t xml:space="preserve">החוק [...] אני אומר לך שהחוק מתיר, ואני תומך בחוק הזה. אם זה חוק </w:t>
      </w:r>
      <w:r w:rsidRPr="00643EF4">
        <w:rPr>
          <w:rFonts w:ascii="FrankRuehl" w:hAnsi="FrankRuehl"/>
          <w:color w:val="000000"/>
          <w:spacing w:val="0"/>
          <w:sz w:val="28"/>
          <w:rtl/>
        </w:rPr>
        <w:t>–</w:t>
      </w:r>
      <w:r w:rsidRPr="00643EF4">
        <w:rPr>
          <w:rFonts w:ascii="Miriam" w:hAnsi="Miriam" w:cs="Miriam"/>
          <w:color w:val="000000"/>
          <w:spacing w:val="0"/>
          <w:sz w:val="24"/>
          <w:szCs w:val="24"/>
          <w:rtl/>
        </w:rPr>
        <w:t xml:space="preserve"> כן, אני מתיר. אני תומך בחוק. מה הבעיה?"</w:t>
      </w:r>
      <w:r w:rsidRPr="00643EF4">
        <w:rPr>
          <w:rtl/>
        </w:rPr>
        <w:t xml:space="preserve"> (פרוטוקול ישיבה מס' 175 של הכנסת ה-20, 342-339 (7.12.2016)).</w:t>
      </w:r>
    </w:p>
    <w:p w14:paraId="5B433DDB" w14:textId="77777777" w:rsidR="0062781A" w:rsidRPr="00643EF4" w:rsidRDefault="0062781A" w:rsidP="0062781A">
      <w:pPr>
        <w:pStyle w:val="Ruller41"/>
        <w:tabs>
          <w:tab w:val="left" w:pos="5863"/>
        </w:tabs>
      </w:pPr>
    </w:p>
    <w:p w14:paraId="3DA8D48C" w14:textId="77777777" w:rsidR="0062781A" w:rsidRPr="00643EF4" w:rsidRDefault="0062781A" w:rsidP="0062781A">
      <w:pPr>
        <w:pStyle w:val="Ruller41"/>
        <w:tabs>
          <w:tab w:val="left" w:pos="5863"/>
        </w:tabs>
        <w:rPr>
          <w:rtl/>
        </w:rPr>
      </w:pPr>
      <w:r w:rsidRPr="00643EF4">
        <w:rPr>
          <w:rtl/>
        </w:rPr>
        <w:t>18.</w:t>
      </w:r>
      <w:r w:rsidRPr="00643EF4">
        <w:rPr>
          <w:rtl/>
        </w:rPr>
        <w:tab/>
        <w:t xml:space="preserve">הנה כי כן, בשונה משוק הקרקעות הישראלי בתחומי 'הקו הירוק', ולמעשה בשונה מכל שוק קרקעות 'נורמלי' ברחבי העולם, שוק הקרקעות ביהודה ושומרון, איננו שוק חופשי. סכנת מאסר ממושך ועבודות פרך (במקרה הטוב), וסכנת מוות (במקרה הרע), מרחפות מעל ראשיהם של פלסטינים המבקשים למכור את קרקעותיהם ליהודים, ולפיכך מוגבלת גם אפשרות העיון במרשם המקרקעין באזור. מטבע הדברים, כאמור, לא ניתן להציג נתונים ברורים באשר להיקף התופעה. אך מן המקורות השונים המובאים לעיל – ואלו היו רק מעט מזעיר – ברי כי אין מדובר בתופעה שולית כלל ועיקר. עוצמת המאבק במכירת קרקעות ליהודים, גם בעת האחרונה ממש, היא כשלעצמה מלמדת משהו </w:t>
      </w:r>
      <w:r w:rsidRPr="00643EF4">
        <w:rPr>
          <w:rtl/>
        </w:rPr>
        <w:lastRenderedPageBreak/>
        <w:t>על שכיחותה של התופעה. המציאות העגומה הזאת, גם היא עומדת ברקע לחקיקתו של חוק ההסדרה.</w:t>
      </w:r>
    </w:p>
    <w:p w14:paraId="10EEDE79" w14:textId="77777777" w:rsidR="0062781A" w:rsidRPr="00643EF4" w:rsidRDefault="0062781A" w:rsidP="0062781A">
      <w:pPr>
        <w:pStyle w:val="Ruller41"/>
        <w:tabs>
          <w:tab w:val="left" w:pos="5863"/>
        </w:tabs>
        <w:rPr>
          <w:rtl/>
        </w:rPr>
      </w:pPr>
    </w:p>
    <w:p w14:paraId="36D972BE" w14:textId="77777777" w:rsidR="0062781A" w:rsidRPr="00643EF4" w:rsidRDefault="0062781A" w:rsidP="0062781A">
      <w:pPr>
        <w:pStyle w:val="Ruller41"/>
        <w:tabs>
          <w:tab w:val="left" w:pos="5863"/>
        </w:tabs>
        <w:rPr>
          <w:rtl/>
        </w:rPr>
      </w:pPr>
      <w:r w:rsidRPr="00643EF4">
        <w:rPr>
          <w:rtl/>
        </w:rPr>
        <w:t>19.</w:t>
      </w:r>
      <w:r w:rsidRPr="00643EF4">
        <w:rPr>
          <w:rtl/>
        </w:rPr>
        <w:tab/>
      </w:r>
      <w:r w:rsidRPr="003024CC">
        <w:rPr>
          <w:rFonts w:ascii="Miriam" w:hAnsi="Miriam" w:cs="Miriam"/>
          <w:color w:val="000000"/>
          <w:spacing w:val="0"/>
          <w:sz w:val="24"/>
          <w:szCs w:val="24"/>
          <w:u w:val="single"/>
          <w:rtl/>
        </w:rPr>
        <w:t>צוות קו כחול</w:t>
      </w:r>
      <w:r w:rsidRPr="00643EF4">
        <w:rPr>
          <w:rtl/>
        </w:rPr>
        <w:t xml:space="preserve"> – הרקע הרלבנטי בהקשר זה פורט בהרחבה על-ידי חברתי (פסקאות 18-7 לחוות דעתה). אחזור בתמצית רק על עיקרי הדברים הצריכים לענייננו. בהחלטת ממשלה מס' 145 מיום 11.11.1979, הוחלט כי ישובים חדשים באזור יוקמו על קרקעות בבעלות המדינה. בעקבות החלטה זו, ומאחר שמרבית המקרקעין באזור לא היו מוסדרים, התעורר צורך לאתר ולזהות את תחומי הקרקעות הללו. לפיכך החל להתבצע בשנות ה-80 של המאה הקודמת הליך 'הכרזה' על מקרקעין שהם 'רכוש ממשלתי', בהתאם לצו בדבר רכוש ממשלתי (יהודה ושומרון), מס' 59, התשכ"ז-1967</w:t>
      </w:r>
      <w:r w:rsidRPr="00643EF4">
        <w:rPr>
          <w:rFonts w:hint="cs"/>
          <w:rtl/>
        </w:rPr>
        <w:t xml:space="preserve"> (ראו: פליאה אלבק "השימוש בקרקעות ביהודה ושומרון לצורך ההתיישבות היהודית </w:t>
      </w:r>
      <w:r w:rsidRPr="00643EF4">
        <w:rPr>
          <w:rtl/>
        </w:rPr>
        <w:t>–</w:t>
      </w:r>
      <w:r w:rsidRPr="00643EF4">
        <w:rPr>
          <w:rFonts w:hint="cs"/>
          <w:rtl/>
        </w:rPr>
        <w:t xml:space="preserve"> היבטים משפטיים ומבחן המציאות" </w:t>
      </w:r>
      <w:r w:rsidRPr="00643EF4">
        <w:rPr>
          <w:rFonts w:ascii="Miriam" w:hAnsi="Miriam" w:cs="Miriam" w:hint="cs"/>
          <w:color w:val="000000"/>
          <w:spacing w:val="0"/>
          <w:sz w:val="24"/>
          <w:szCs w:val="24"/>
          <w:rtl/>
        </w:rPr>
        <w:t xml:space="preserve">העלייה אל ההר </w:t>
      </w:r>
      <w:r w:rsidRPr="00643EF4">
        <w:rPr>
          <w:rFonts w:ascii="Century" w:hAnsi="Century"/>
          <w:rtl/>
        </w:rPr>
        <w:t>–</w:t>
      </w:r>
      <w:r w:rsidRPr="00643EF4">
        <w:rPr>
          <w:rFonts w:ascii="Century" w:hAnsi="Century" w:hint="cs"/>
          <w:rtl/>
        </w:rPr>
        <w:t xml:space="preserve"> </w:t>
      </w:r>
      <w:r w:rsidRPr="00643EF4">
        <w:rPr>
          <w:rFonts w:ascii="Miriam" w:hAnsi="Miriam" w:cs="Miriam" w:hint="cs"/>
          <w:color w:val="000000"/>
          <w:spacing w:val="0"/>
          <w:sz w:val="24"/>
          <w:szCs w:val="24"/>
          <w:rtl/>
        </w:rPr>
        <w:t xml:space="preserve">ההתיישבות היהודית המתחדשת ביהודה ושומרון </w:t>
      </w:r>
      <w:r w:rsidRPr="00643EF4">
        <w:rPr>
          <w:rFonts w:hint="cs"/>
          <w:rtl/>
        </w:rPr>
        <w:t>221 (תשע"ב-2002))</w:t>
      </w:r>
      <w:r w:rsidRPr="00643EF4">
        <w:rPr>
          <w:rtl/>
        </w:rPr>
        <w:t xml:space="preserve">. הליך ההכרזה היה תנאי לנטילת חזקה במקרקעין והקצאתם לטובת התיישבות ישראלית, כאשר גבולותיה של ההכרזה סומנו ב'קו כחול'. ההכרזה נעשתה לאחר עריכת שורה של בדיקות, שנועדו לוודא כי המקרקעין אינם בבעלות או החזקה פרטית. אולם – וזוהי נקודה חשובה לענייננו – ההכרזה היתה בעלת אופי דקלרטיבי בלבד, לא קונסטיטוטיבי. משמעות הדבר, כי ההכרזה לא שינתה את מעמדם הקנייני של המקרקעין. קרקע בבעלות פרטית אינה הופכת לרכוש ממשלתי, רק בשל העובדה שכך הוכרז לגביה. </w:t>
      </w:r>
    </w:p>
    <w:p w14:paraId="4F13B1FF" w14:textId="77777777" w:rsidR="0062781A" w:rsidRPr="00643EF4" w:rsidRDefault="0062781A" w:rsidP="0062781A">
      <w:pPr>
        <w:pStyle w:val="Ruller41"/>
        <w:tabs>
          <w:tab w:val="left" w:pos="5863"/>
        </w:tabs>
        <w:rPr>
          <w:rtl/>
        </w:rPr>
      </w:pPr>
    </w:p>
    <w:p w14:paraId="41A06EB6" w14:textId="77777777" w:rsidR="0062781A" w:rsidRPr="00643EF4" w:rsidRDefault="0062781A" w:rsidP="0062781A">
      <w:pPr>
        <w:pStyle w:val="Ruller41"/>
        <w:tabs>
          <w:tab w:val="left" w:pos="5863"/>
        </w:tabs>
        <w:rPr>
          <w:rtl/>
        </w:rPr>
      </w:pPr>
      <w:r w:rsidRPr="00643EF4">
        <w:rPr>
          <w:rtl/>
        </w:rPr>
        <w:t>20.</w:t>
      </w:r>
      <w:r w:rsidRPr="00643EF4">
        <w:rPr>
          <w:rtl/>
        </w:rPr>
        <w:tab/>
        <w:t>בשנת 2005, נוכח אי-דיוקים שנתגלו בתרשימים שבוצעו במהלך השנים (אם בשל שיטת סימון לקויה, אם בשל שימוש בתצלומי אוויר שאינם מדויקים), החל המינהל האזרחי לבצע בחינה מחודשת של גבולות ההכרזה, בעזרת אמצעים מודרניים ומדויקים יותר. לשם כך הוקם 'צוות סטטוס מקרקעין', הידוע גם כ'צוות קו כחול'. בעקבות עבודתו של הצוות התברר, כי מקרקעין שהוכרזו זה מכבר כאדמות מדינה, ועליהם הוקמה התיישבות ישראלית, מצויים למעשה מחוץ לגבולות ההכרזה. משפחות שהקימו את בתיהן על קרקע שנחשבה לאדמת מדינה, כדת וכדין, גילו לפתע כי מעמדה המשפטי של הקרקע אינו ברור. בחלק גדול מהמקרים, התברר כי מדובר בקרקע פרטית פלסטינית (על-פי הנתונים שהציגה הממשלה לפנינו, ישנם 1,048 מבנים כאלו, מתוך 3,455 מבנים השוכנים על קרקע פרטית; מש/2). על התהום הזו, שנפערה מתחת לרגליהם של אלפי מתיישבים, מבקש בין היתר חוק ההסדרה לגשר. הנה לנו המחשה נוספת, להבדל המהותי שבין בנייה בלתי חוקית 'רגילה', כזו שראוי לה להיות מוסדרת באמצעות דיני המקרקעין ה'רגילים', לבין המציאות החריגה והמורכבת שעמה מבקש להתמודד חוק ההסדרה.</w:t>
      </w:r>
    </w:p>
    <w:p w14:paraId="42C4053F" w14:textId="77777777" w:rsidR="0062781A" w:rsidRPr="00643EF4" w:rsidRDefault="0062781A" w:rsidP="0062781A">
      <w:pPr>
        <w:pStyle w:val="Ruller41"/>
        <w:tabs>
          <w:tab w:val="left" w:pos="5863"/>
        </w:tabs>
        <w:rPr>
          <w:rtl/>
        </w:rPr>
      </w:pPr>
    </w:p>
    <w:p w14:paraId="750A2683" w14:textId="47F927AE" w:rsidR="0062781A" w:rsidRPr="00643EF4" w:rsidRDefault="0062781A" w:rsidP="0062781A">
      <w:pPr>
        <w:pStyle w:val="Ruller41"/>
        <w:tabs>
          <w:tab w:val="left" w:pos="5863"/>
        </w:tabs>
        <w:rPr>
          <w:rtl/>
        </w:rPr>
      </w:pPr>
      <w:r w:rsidRPr="00643EF4">
        <w:rPr>
          <w:rtl/>
        </w:rPr>
        <w:t>21.</w:t>
      </w:r>
      <w:r w:rsidRPr="00643EF4">
        <w:rPr>
          <w:rtl/>
        </w:rPr>
        <w:tab/>
        <w:t xml:space="preserve">הנה כי כן, ברקע לחקיקתו של חוק ההסדרה ניצבת מציאות מורכבת – הן מבחינה עובדתית, הן מבחינה משפטית – שאינה מאפיינת מצבים 'רגילים' של הסדרת </w:t>
      </w:r>
      <w:r w:rsidRPr="00643EF4">
        <w:rPr>
          <w:rtl/>
        </w:rPr>
        <w:lastRenderedPageBreak/>
        <w:t xml:space="preserve">בנייה בלתי-חוקית. מורכבות זו יסודה בארבעה נדבכים: מעורבות עמוקה וארוכת שנים של רשויות השלטון; אופייה הפוליטי-מדיני של הסוגייה שעל הפרק; 'כּשל' מובנה בשוק הקרקעות ביהודה ושומרון; ותוצאות עבודתו של 'צוות קו כחול'. יודגש: ארבעת הנדבכים הללו, אינם </w:t>
      </w:r>
      <w:r w:rsidRPr="00643EF4">
        <w:rPr>
          <w:rFonts w:ascii="Miriam" w:hAnsi="Miriam" w:cs="Miriam"/>
          <w:color w:val="000000"/>
          <w:spacing w:val="0"/>
          <w:sz w:val="24"/>
          <w:szCs w:val="24"/>
          <w:rtl/>
        </w:rPr>
        <w:t>מצדיקים</w:t>
      </w:r>
      <w:r w:rsidRPr="00643EF4">
        <w:rPr>
          <w:rtl/>
        </w:rPr>
        <w:t xml:space="preserve"> בהכרח את חוק ההסדרה, במתכונתו הרחבה מאד. כפי שיפורט להלן, גם אני סבור כי אפשר וצריך למתן את פגיעתו. אך יש בהם</w:t>
      </w:r>
      <w:r w:rsidR="00B7010B">
        <w:rPr>
          <w:rFonts w:hint="cs"/>
          <w:rtl/>
        </w:rPr>
        <w:t>,</w:t>
      </w:r>
      <w:r w:rsidRPr="00643EF4">
        <w:rPr>
          <w:rtl/>
        </w:rPr>
        <w:t xml:space="preserve"> בנדבכים הללו, כדי לסייע לנו בראש ובראשונה </w:t>
      </w:r>
      <w:r w:rsidRPr="00643EF4">
        <w:rPr>
          <w:rFonts w:ascii="Miriam" w:hAnsi="Miriam" w:cs="Miriam"/>
          <w:color w:val="000000"/>
          <w:spacing w:val="0"/>
          <w:sz w:val="24"/>
          <w:szCs w:val="24"/>
          <w:rtl/>
        </w:rPr>
        <w:t>להבין</w:t>
      </w:r>
      <w:r w:rsidRPr="00643EF4">
        <w:rPr>
          <w:sz w:val="18"/>
          <w:szCs w:val="24"/>
          <w:rtl/>
        </w:rPr>
        <w:t xml:space="preserve"> </w:t>
      </w:r>
      <w:r w:rsidRPr="00643EF4">
        <w:rPr>
          <w:rtl/>
        </w:rPr>
        <w:t xml:space="preserve">את חוק ההסדרה, וממילא גם לבחון אותו באספקלריה הראויה לו. ארבעת הנדבכים הללו ימשיכו אפוא ללוותנו, לאורך שלביה השונים של הביקורת החוקתית על חוק ההסדרה. </w:t>
      </w:r>
    </w:p>
    <w:p w14:paraId="21746D9F" w14:textId="77777777" w:rsidR="0062781A" w:rsidRPr="00643EF4" w:rsidRDefault="0062781A" w:rsidP="0062781A">
      <w:pPr>
        <w:pStyle w:val="Ruller41"/>
        <w:tabs>
          <w:tab w:val="left" w:pos="5863"/>
        </w:tabs>
        <w:rPr>
          <w:rtl/>
        </w:rPr>
      </w:pPr>
    </w:p>
    <w:p w14:paraId="0A9E3452" w14:textId="2B9BFFF9" w:rsidR="0062781A" w:rsidRPr="00643EF4" w:rsidRDefault="0062781A" w:rsidP="0062781A">
      <w:pPr>
        <w:pStyle w:val="Ruller41"/>
        <w:spacing w:line="480" w:lineRule="auto"/>
        <w:rPr>
          <w:rFonts w:ascii="Miriam" w:hAnsi="Miriam" w:cs="Miriam"/>
          <w:sz w:val="18"/>
          <w:szCs w:val="24"/>
          <w:rtl/>
        </w:rPr>
      </w:pPr>
      <w:r w:rsidRPr="00643EF4">
        <w:rPr>
          <w:rFonts w:ascii="Miriam" w:hAnsi="Miriam" w:cs="Miriam"/>
          <w:color w:val="000000"/>
          <w:spacing w:val="0"/>
          <w:sz w:val="24"/>
          <w:szCs w:val="24"/>
          <w:rtl/>
        </w:rPr>
        <w:t>פגיעה בזכות חוקתית</w:t>
      </w:r>
    </w:p>
    <w:p w14:paraId="1AB7B1F3" w14:textId="77777777" w:rsidR="0043011E" w:rsidRPr="00643EF4" w:rsidRDefault="0043011E" w:rsidP="0062781A">
      <w:pPr>
        <w:pStyle w:val="Ruller41"/>
        <w:spacing w:line="480" w:lineRule="auto"/>
        <w:rPr>
          <w:rFonts w:ascii="Miriam" w:hAnsi="Miriam" w:cs="Miriam"/>
          <w:sz w:val="2"/>
          <w:szCs w:val="8"/>
          <w:rtl/>
        </w:rPr>
      </w:pPr>
    </w:p>
    <w:p w14:paraId="7249F32B" w14:textId="77777777" w:rsidR="0062781A" w:rsidRPr="00643EF4" w:rsidRDefault="0062781A" w:rsidP="0062781A">
      <w:pPr>
        <w:pStyle w:val="Ruller41"/>
        <w:rPr>
          <w:rtl/>
        </w:rPr>
      </w:pPr>
      <w:r w:rsidRPr="00643EF4">
        <w:rPr>
          <w:rtl/>
        </w:rPr>
        <w:t>22.</w:t>
      </w:r>
      <w:r w:rsidRPr="00643EF4">
        <w:rPr>
          <w:rtl/>
        </w:rPr>
        <w:tab/>
        <w:t>חוק ההסדרה פוגע בזכות החוקתית ל</w:t>
      </w:r>
      <w:r w:rsidRPr="00643EF4">
        <w:rPr>
          <w:rFonts w:ascii="Miriam" w:hAnsi="Miriam" w:cs="Miriam"/>
          <w:color w:val="000000"/>
          <w:spacing w:val="0"/>
          <w:sz w:val="24"/>
          <w:szCs w:val="24"/>
          <w:rtl/>
        </w:rPr>
        <w:t>קניין</w:t>
      </w:r>
      <w:r w:rsidRPr="00643EF4">
        <w:rPr>
          <w:rtl/>
        </w:rPr>
        <w:t xml:space="preserve">. אשר להסדר הרכישה הכפויה המעוגן בסעיף 3(2) לחוק, של מקרקעין מוסדרים שיש בהם בעל זכות, אין מחלוקת בין הצדדים כי הוא פוגע בזכות הקניין. גם הממשלה מודה, כי </w:t>
      </w:r>
      <w:r w:rsidRPr="00643EF4">
        <w:rPr>
          <w:rFonts w:ascii="Miriam" w:hAnsi="Miriam" w:cs="Miriam"/>
          <w:color w:val="000000"/>
          <w:spacing w:val="0"/>
          <w:sz w:val="24"/>
          <w:szCs w:val="24"/>
          <w:rtl/>
        </w:rPr>
        <w:t>"רכישה כפויה של זכויות ההחזקה והשימוש</w:t>
      </w:r>
      <w:r w:rsidRPr="00643EF4">
        <w:rPr>
          <w:rFonts w:ascii="Miriam" w:hAnsi="Miriam" w:cs="Miriam"/>
          <w:sz w:val="18"/>
          <w:szCs w:val="24"/>
          <w:rtl/>
        </w:rPr>
        <w:t xml:space="preserve"> </w:t>
      </w:r>
      <w:r w:rsidRPr="00643EF4">
        <w:rPr>
          <w:rFonts w:ascii="FrankRuehl" w:hAnsi="FrankRuehl"/>
          <w:rtl/>
        </w:rPr>
        <w:t>[במקרקעין אלו – נ' ס']</w:t>
      </w:r>
      <w:r w:rsidRPr="00643EF4">
        <w:rPr>
          <w:rFonts w:ascii="Miriam" w:hAnsi="Miriam" w:cs="Miriam"/>
          <w:sz w:val="18"/>
          <w:szCs w:val="24"/>
          <w:rtl/>
        </w:rPr>
        <w:t xml:space="preserve"> </w:t>
      </w:r>
      <w:r w:rsidRPr="00643EF4">
        <w:rPr>
          <w:rFonts w:ascii="Miriam" w:hAnsi="Miriam" w:cs="Miriam"/>
          <w:color w:val="000000"/>
          <w:spacing w:val="0"/>
          <w:sz w:val="24"/>
          <w:szCs w:val="24"/>
          <w:rtl/>
        </w:rPr>
        <w:t>מהווה פגיעה מיניה וביה בזכות הקניין"</w:t>
      </w:r>
      <w:r w:rsidRPr="00643EF4">
        <w:rPr>
          <w:rtl/>
        </w:rPr>
        <w:t xml:space="preserve"> (סעיף 83 לתגובה המקדמית מטעם הממשלה). אשר לסעיף 3(1) לחוק, שלגביו נחלקו הצדדים, אני מסכים עם חברתי כי גם בו יש פגיעה בזכות החוקתית לקניין (פסקאות 45-44 לחוות דעתה). כפי שציין היועץ המשפטי לממשלה, עם כניסת כוחות צה"ל ליהודה ושומרון בשנת 1967, הותלו הליכי הסדרת המקרקעין באזור. הקפאת האפשרות להוכחת זכויות במקרקעין מחד גיסא, ורישומן של אותן קרקעות כרכוש ממשלתי </w:t>
      </w:r>
      <w:r w:rsidRPr="00643EF4">
        <w:rPr>
          <w:rFonts w:ascii="FrankRuehl" w:hAnsi="FrankRuehl"/>
          <w:rtl/>
        </w:rPr>
        <w:t>בתוך שנה</w:t>
      </w:r>
      <w:r w:rsidRPr="00643EF4">
        <w:rPr>
          <w:rtl/>
        </w:rPr>
        <w:t xml:space="preserve"> מאידך גיסא, טומנת בחובה פגיעה בזכות הקניין, ביחס למצבים </w:t>
      </w:r>
      <w:r w:rsidRPr="00643EF4">
        <w:rPr>
          <w:rFonts w:ascii="Miriam" w:hAnsi="Miriam" w:cs="Miriam"/>
          <w:color w:val="000000"/>
          <w:spacing w:val="0"/>
          <w:sz w:val="24"/>
          <w:szCs w:val="24"/>
          <w:rtl/>
        </w:rPr>
        <w:t>"שבהם מדובר במקרקעין, אשר למצער ברמת הראיות המינהליות יש לתושב פלוני זיקה קניינית מספקת אליהם"</w:t>
      </w:r>
      <w:r w:rsidRPr="00643EF4">
        <w:rPr>
          <w:rtl/>
        </w:rPr>
        <w:t xml:space="preserve"> (סעיף 123 לתגובה המקדמית מטעם היועץ המשפטי לממשלה). </w:t>
      </w:r>
    </w:p>
    <w:p w14:paraId="1A02C078" w14:textId="77777777" w:rsidR="0062781A" w:rsidRPr="00643EF4" w:rsidRDefault="0062781A" w:rsidP="0062781A">
      <w:pPr>
        <w:pStyle w:val="Ruller41"/>
        <w:rPr>
          <w:rtl/>
        </w:rPr>
      </w:pPr>
    </w:p>
    <w:p w14:paraId="769E7B34" w14:textId="77777777" w:rsidR="0062781A" w:rsidRPr="00643EF4" w:rsidRDefault="0062781A" w:rsidP="0062781A">
      <w:pPr>
        <w:pStyle w:val="Ruller41"/>
        <w:rPr>
          <w:rtl/>
        </w:rPr>
      </w:pPr>
      <w:r w:rsidRPr="00643EF4">
        <w:rPr>
          <w:rtl/>
        </w:rPr>
        <w:t>23.</w:t>
      </w:r>
      <w:r w:rsidRPr="00643EF4">
        <w:rPr>
          <w:rtl/>
        </w:rPr>
        <w:tab/>
        <w:t>חוק ההסדרה פוגע גם בזכות החוקתית ל</w:t>
      </w:r>
      <w:r w:rsidRPr="00643EF4">
        <w:rPr>
          <w:rFonts w:ascii="Miriam" w:hAnsi="Miriam" w:cs="Miriam"/>
          <w:color w:val="000000"/>
          <w:spacing w:val="0"/>
          <w:sz w:val="24"/>
          <w:szCs w:val="24"/>
          <w:rtl/>
        </w:rPr>
        <w:t>שוויון</w:t>
      </w:r>
      <w:r w:rsidRPr="00643EF4">
        <w:rPr>
          <w:rtl/>
        </w:rPr>
        <w:t>. הממשלה טענה לפנינו כי אין הדבר כן, מחמת שוֹנוּת רלבנטית שבין המתיישבים הישראלים למתיישבים הפלסטיניים. אך השוֹנוּת הרלבנטית, ככל שישנה, אינה מאיינת את הפגיעה בשוויון החוקתי. חוק ההסדרה, על-פי לשונו, אינו מבחין אמנם במפורש בין יהודים לערבים, אולם בצדק ציין היועץ המשפטי לממשלה כי הוראותיו מעניקות עדיפות מובהקת, 'בשורה התחתונה', למתיישבים ישראליים. כך לנוכח קביעת התנאי בדבר 'הסכמת המדינה' (שהגדרתה בחוק רחבה עד מאד); כך בשל העובדה שסמכות הקצאת הזכויות במקרקעין נתונה ל'מוסד מיישב' (שהגדרתו בחוק מכוונת כלפי גופים שמטרתם היא ליישב ישראלים בלבד); כך בשים לב לרשימת היישובים המנויים בתוספת לחוק – כולם, ללא יוצא מן הכלל, ישובים ישראליים. אמנם כן, 'על הנייר', חל החוק באופן שווה על ישראלים ופלסטינים כאחד. אולם במבחן התוצאה, ברי כי מוטביו העיקריים של החוק יהיו מתיישבים ישראלים. הבחנה זו, שבין בנייה בלתי-חוקית ישראלית לבנייה בלתי</w:t>
      </w:r>
      <w:r w:rsidRPr="00643EF4">
        <w:rPr>
          <w:rFonts w:hint="cs"/>
          <w:rtl/>
        </w:rPr>
        <w:t>-</w:t>
      </w:r>
      <w:r w:rsidRPr="00643EF4">
        <w:rPr>
          <w:rtl/>
        </w:rPr>
        <w:t xml:space="preserve">חוקית פלסטינית, בין יהודים לבין ערבים, היא הבחנה 'חשודה', המחייבת את המסקנה כי חוק ההסדרה פוגע בזכות </w:t>
      </w:r>
      <w:r w:rsidRPr="00643EF4">
        <w:rPr>
          <w:rtl/>
        </w:rPr>
        <w:lastRenderedPageBreak/>
        <w:t xml:space="preserve">החוקתית לשוויון. אכן, יש טעם בטענת הכנסת, הממשלה והמועצה האזורית מטה בנימין, לפיה אין להשוות בנסיבות העניין בין עניינה של הבנייה הבלתי-חוקית הישראלית, לבין זו הפלסטינית. </w:t>
      </w:r>
      <w:r w:rsidRPr="00643EF4">
        <w:rPr>
          <w:rFonts w:ascii="FrankRuehl" w:hAnsi="FrankRuehl"/>
          <w:sz w:val="28"/>
          <w:rtl/>
        </w:rPr>
        <w:t xml:space="preserve">ההבדלים הללו עשויים להצדיק את האמצעים הננקטים בחוק ההסדרה, ולהשליך על </w:t>
      </w:r>
      <w:r w:rsidRPr="00643EF4">
        <w:rPr>
          <w:rFonts w:ascii="Miriam" w:hAnsi="Miriam" w:cs="Miriam"/>
          <w:color w:val="000000"/>
          <w:spacing w:val="0"/>
          <w:sz w:val="24"/>
          <w:szCs w:val="24"/>
          <w:rtl/>
        </w:rPr>
        <w:t>מידתיות</w:t>
      </w:r>
      <w:r w:rsidRPr="00643EF4">
        <w:rPr>
          <w:rFonts w:ascii="FrankRuehl" w:hAnsi="FrankRuehl"/>
          <w:color w:val="000000"/>
          <w:spacing w:val="0"/>
          <w:sz w:val="28"/>
          <w:rtl/>
        </w:rPr>
        <w:t xml:space="preserve"> </w:t>
      </w:r>
      <w:r w:rsidRPr="00643EF4">
        <w:rPr>
          <w:rtl/>
        </w:rPr>
        <w:t>הפגיעה. מכל מקום, אין בהבדלים הללו כדי לאיין את עצם פגיעתו של חוק ההסדרה בזכות החוקתית לשוויון.</w:t>
      </w:r>
    </w:p>
    <w:p w14:paraId="38E98243" w14:textId="77777777" w:rsidR="0062781A" w:rsidRPr="00643EF4" w:rsidRDefault="0062781A" w:rsidP="0062781A">
      <w:pPr>
        <w:pStyle w:val="Ruller41"/>
        <w:rPr>
          <w:rtl/>
        </w:rPr>
      </w:pPr>
    </w:p>
    <w:p w14:paraId="71370E4B" w14:textId="77777777" w:rsidR="0062781A" w:rsidRPr="00643EF4" w:rsidRDefault="0062781A" w:rsidP="0062781A">
      <w:pPr>
        <w:pStyle w:val="Ruller41"/>
        <w:rPr>
          <w:rtl/>
        </w:rPr>
      </w:pPr>
      <w:r w:rsidRPr="00643EF4">
        <w:rPr>
          <w:rtl/>
        </w:rPr>
        <w:t>24.</w:t>
      </w:r>
      <w:r w:rsidRPr="00643EF4">
        <w:rPr>
          <w:rtl/>
        </w:rPr>
        <w:tab/>
        <w:t>משבאנו לכלל מסקנה, כי חוק ההסדרה פוגע בזכות החוקתית לקניין (נוכח הוראות סעיף 3 לחוק), ובזכות החוקתית לשוויון (נוכח ההבחנה ה'חשודה' בין בנייה בלתי-חוקית ישראלית לבין בנייה בלתי-חוקית פלסטינית), יש לעבור לשלב השני של הבחינה החוקתית – בחינת תכליתו של החוק, ומידתיות הפגיעה.</w:t>
      </w:r>
    </w:p>
    <w:p w14:paraId="682C37CC" w14:textId="77777777" w:rsidR="0062781A" w:rsidRPr="00643EF4" w:rsidRDefault="0062781A" w:rsidP="0062781A">
      <w:pPr>
        <w:pStyle w:val="Ruller41"/>
        <w:rPr>
          <w:rtl/>
        </w:rPr>
      </w:pPr>
    </w:p>
    <w:p w14:paraId="03658453" w14:textId="5D3C8434" w:rsidR="0062781A" w:rsidRPr="00643EF4" w:rsidRDefault="0062781A" w:rsidP="0062781A">
      <w:pPr>
        <w:pStyle w:val="Ruller41"/>
        <w:spacing w:line="480" w:lineRule="auto"/>
        <w:rPr>
          <w:rFonts w:ascii="Miriam" w:hAnsi="Miriam" w:cs="Miriam"/>
          <w:sz w:val="18"/>
          <w:szCs w:val="24"/>
          <w:rtl/>
        </w:rPr>
      </w:pPr>
      <w:r w:rsidRPr="00643EF4">
        <w:rPr>
          <w:rFonts w:ascii="Miriam" w:hAnsi="Miriam" w:cs="Miriam"/>
          <w:color w:val="000000"/>
          <w:spacing w:val="0"/>
          <w:sz w:val="24"/>
          <w:szCs w:val="24"/>
          <w:rtl/>
        </w:rPr>
        <w:t>תכלית ראויה</w:t>
      </w:r>
    </w:p>
    <w:p w14:paraId="75A8A1B8" w14:textId="77777777" w:rsidR="0043011E" w:rsidRPr="00643EF4" w:rsidRDefault="0043011E" w:rsidP="0062781A">
      <w:pPr>
        <w:pStyle w:val="Ruller41"/>
        <w:spacing w:line="480" w:lineRule="auto"/>
        <w:rPr>
          <w:rFonts w:ascii="Miriam" w:hAnsi="Miriam" w:cs="Miriam"/>
          <w:sz w:val="2"/>
          <w:szCs w:val="6"/>
          <w:rtl/>
        </w:rPr>
      </w:pPr>
    </w:p>
    <w:p w14:paraId="68921740" w14:textId="77777777" w:rsidR="0062781A" w:rsidRPr="00643EF4" w:rsidRDefault="0062781A" w:rsidP="0062781A">
      <w:pPr>
        <w:pStyle w:val="Ruller41"/>
        <w:rPr>
          <w:rtl/>
        </w:rPr>
      </w:pPr>
      <w:r w:rsidRPr="00643EF4">
        <w:rPr>
          <w:rtl/>
        </w:rPr>
        <w:t>25.</w:t>
      </w:r>
      <w:r w:rsidRPr="00643EF4">
        <w:rPr>
          <w:rtl/>
        </w:rPr>
        <w:tab/>
        <w:t xml:space="preserve">סעיף 1 לחוק ההסדרה קובע, כי </w:t>
      </w:r>
      <w:r w:rsidRPr="00643EF4">
        <w:rPr>
          <w:rFonts w:ascii="Miriam" w:hAnsi="Miriam" w:cs="Miriam"/>
          <w:color w:val="000000"/>
          <w:spacing w:val="0"/>
          <w:sz w:val="24"/>
          <w:szCs w:val="24"/>
          <w:rtl/>
        </w:rPr>
        <w:t>"מטרת חוק זה היא להסדיר את ההתיישבות ביהודה והשומרון ולאפשר את המשך ביסוסה ופיתוחה"</w:t>
      </w:r>
      <w:r w:rsidRPr="00643EF4">
        <w:rPr>
          <w:rtl/>
        </w:rPr>
        <w:t xml:space="preserve">. סעיף המטרה של החוק משמיע לנו שתי תכליות מרכזיות. התכלית האחת היא </w:t>
      </w:r>
      <w:r w:rsidRPr="00643EF4">
        <w:rPr>
          <w:rFonts w:ascii="Miriam" w:hAnsi="Miriam" w:cs="Miriam"/>
          <w:color w:val="000000"/>
          <w:spacing w:val="0"/>
          <w:sz w:val="24"/>
          <w:szCs w:val="24"/>
          <w:rtl/>
        </w:rPr>
        <w:t>תכלית מדינית-לאומית.</w:t>
      </w:r>
      <w:r w:rsidRPr="00643EF4">
        <w:rPr>
          <w:rtl/>
        </w:rPr>
        <w:t xml:space="preserve"> האם תכלית זו היא תכלית ראויה? התשובה לכך אינה משפטית, זוהי שאלה של השקפה פוליטית. ההכרעה אם תכלית מדינית מעין זו היא ראויה, אם לאו, היא הכרעה הצריכה להתקבל </w:t>
      </w:r>
      <w:r w:rsidRPr="00643EF4">
        <w:rPr>
          <w:rFonts w:ascii="Miriam" w:hAnsi="Miriam" w:cs="Miriam"/>
          <w:sz w:val="18"/>
          <w:szCs w:val="24"/>
          <w:rtl/>
        </w:rPr>
        <w:t>"</w:t>
      </w:r>
      <w:r w:rsidRPr="00643EF4">
        <w:rPr>
          <w:rFonts w:ascii="Miriam" w:hAnsi="Miriam" w:cs="Miriam"/>
          <w:color w:val="000000"/>
          <w:spacing w:val="0"/>
          <w:sz w:val="24"/>
          <w:szCs w:val="24"/>
          <w:rtl/>
        </w:rPr>
        <w:t xml:space="preserve">באמצעות נבחרי העם; אלה הכריעו כי ההתיישבות הישראלית באזור היא ערך ראוי" </w:t>
      </w:r>
      <w:r w:rsidRPr="00643EF4">
        <w:rPr>
          <w:rtl/>
        </w:rPr>
        <w:t xml:space="preserve">(סעיף 97 לתגובה המקדמית מטעם הממשלה). מן הטעם הזה טענה גם הכנסת, שמדבריה הבאתי לעיל, כי </w:t>
      </w:r>
      <w:r w:rsidRPr="00643EF4">
        <w:rPr>
          <w:rFonts w:ascii="Miriam" w:hAnsi="Miriam" w:cs="Miriam"/>
          <w:color w:val="000000"/>
          <w:spacing w:val="0"/>
          <w:sz w:val="24"/>
          <w:szCs w:val="24"/>
          <w:rtl/>
        </w:rPr>
        <w:t>"חוק ההסדרה נוגע בנימים הרגישים ביותר של המחלוקת הפוליטית והמדינית ביחס לשטחי יהודה ושומרון"</w:t>
      </w:r>
      <w:r w:rsidRPr="00643EF4">
        <w:rPr>
          <w:rtl/>
        </w:rPr>
        <w:t xml:space="preserve"> (סעיף 59 לתגובה המקדמית מטעם הכנסת).</w:t>
      </w:r>
    </w:p>
    <w:p w14:paraId="4792EDCE" w14:textId="77777777" w:rsidR="0062781A" w:rsidRPr="00643EF4" w:rsidRDefault="0062781A" w:rsidP="0062781A">
      <w:pPr>
        <w:pStyle w:val="Ruller41"/>
        <w:rPr>
          <w:rtl/>
        </w:rPr>
      </w:pPr>
    </w:p>
    <w:p w14:paraId="6AB9E5D4" w14:textId="77777777" w:rsidR="0062781A" w:rsidRPr="00643EF4" w:rsidRDefault="0062781A" w:rsidP="0062781A">
      <w:pPr>
        <w:pStyle w:val="Ruller41"/>
        <w:rPr>
          <w:rtl/>
        </w:rPr>
      </w:pPr>
      <w:r w:rsidRPr="00643EF4">
        <w:rPr>
          <w:rtl/>
        </w:rPr>
        <w:t>26.</w:t>
      </w:r>
      <w:r w:rsidRPr="00643EF4">
        <w:rPr>
          <w:rtl/>
        </w:rPr>
        <w:tab/>
        <w:t>ודוק: הכנסת הכריעה כי הסדרתה, ביסוסה ופיתוחה של ההתיישבות ביהודה ושומרון היא מטרה ראויה, אולם אין פירוש הדבר כי כל האמצעים להגשמתה כשרים. ככל שהכנסת מבקשת לקדם תכלית זו באמצעים הפוגעים בזכויות אדם, עליה לעשות כן במידתיות (בהתאם למבחנים המקובלים). על כל פנים, ובכך עיקר, גם אם נקטה הכנסת אמצעי בלתי</w:t>
      </w:r>
      <w:r w:rsidRPr="00643EF4">
        <w:rPr>
          <w:rFonts w:hint="cs"/>
          <w:rtl/>
        </w:rPr>
        <w:t>-</w:t>
      </w:r>
      <w:r w:rsidRPr="00643EF4">
        <w:rPr>
          <w:rtl/>
        </w:rPr>
        <w:t>מידתי, אין פירוש הדבר כי התכלית אינה ראויה. אל לנו לערבב בין בחינתה של התכלית, אם היא ראויה אם לאו, לבין בחינת מידתיות האמצעים הננקטים להגשמתה. תכלית לחוד, ומידתיות האמצעים לחוד.</w:t>
      </w:r>
    </w:p>
    <w:p w14:paraId="78B2E8BA" w14:textId="77777777" w:rsidR="0062781A" w:rsidRPr="00643EF4" w:rsidRDefault="0062781A" w:rsidP="0062781A">
      <w:pPr>
        <w:pStyle w:val="Ruller41"/>
        <w:spacing w:line="240" w:lineRule="auto"/>
        <w:rPr>
          <w:rtl/>
        </w:rPr>
      </w:pPr>
    </w:p>
    <w:p w14:paraId="02972B4C" w14:textId="77777777" w:rsidR="0062781A" w:rsidRPr="00643EF4" w:rsidRDefault="0062781A" w:rsidP="0062781A">
      <w:pPr>
        <w:pStyle w:val="Ruller41"/>
        <w:rPr>
          <w:rtl/>
        </w:rPr>
      </w:pPr>
      <w:r w:rsidRPr="00643EF4">
        <w:rPr>
          <w:rtl/>
        </w:rPr>
        <w:tab/>
        <w:t xml:space="preserve">על רקע הדברים הללו, דומני כי 'התכלית המערכתית' שעליה עמדה חברתי הנשיאה – </w:t>
      </w:r>
      <w:r w:rsidRPr="00643EF4">
        <w:rPr>
          <w:rFonts w:ascii="Miriam" w:hAnsi="Miriam" w:cs="Miriam"/>
          <w:color w:val="000000"/>
          <w:spacing w:val="0"/>
          <w:sz w:val="24"/>
          <w:szCs w:val="24"/>
          <w:rtl/>
        </w:rPr>
        <w:t>"ביסוס ההתיישבות באזור בדרך של הסדרה קניינית ותכנונית בדיעבד של בנייה בלתי חוקית על מקרקעין שאינם 'רכוש ממשלתי'"</w:t>
      </w:r>
      <w:r w:rsidRPr="00643EF4">
        <w:rPr>
          <w:rtl/>
        </w:rPr>
        <w:t xml:space="preserve"> (פסקה 64 לחוות דעתה) – ונמצאה על-ידה בלתי ראויה, לוקה בשניים: </w:t>
      </w:r>
      <w:r w:rsidRPr="00643EF4">
        <w:rPr>
          <w:rFonts w:ascii="Miriam" w:hAnsi="Miriam" w:cs="Miriam"/>
          <w:color w:val="000000"/>
          <w:spacing w:val="0"/>
          <w:sz w:val="24"/>
          <w:szCs w:val="24"/>
          <w:rtl/>
        </w:rPr>
        <w:t>ראשית</w:t>
      </w:r>
      <w:r w:rsidRPr="00643EF4">
        <w:rPr>
          <w:rtl/>
        </w:rPr>
        <w:t xml:space="preserve">, היא אינה נותנת ביטוי הולם לתכליתו המדינית המוצהרת של החוק; </w:t>
      </w:r>
      <w:r w:rsidRPr="00643EF4">
        <w:rPr>
          <w:rFonts w:ascii="Miriam" w:hAnsi="Miriam" w:cs="Miriam"/>
          <w:color w:val="000000"/>
          <w:spacing w:val="0"/>
          <w:sz w:val="24"/>
          <w:szCs w:val="24"/>
          <w:rtl/>
        </w:rPr>
        <w:t>שנית</w:t>
      </w:r>
      <w:r w:rsidRPr="00643EF4">
        <w:rPr>
          <w:rtl/>
        </w:rPr>
        <w:t>, היא מטשטשת את ההבחנה שבין שאלת התכלית לבין שאלת מידתיות האמצעים הננקטים לשם הגשמתה.</w:t>
      </w:r>
    </w:p>
    <w:p w14:paraId="7C64C2AB" w14:textId="77777777" w:rsidR="0062781A" w:rsidRPr="00643EF4" w:rsidRDefault="0062781A" w:rsidP="0062781A">
      <w:pPr>
        <w:pStyle w:val="Ruller41"/>
      </w:pPr>
    </w:p>
    <w:p w14:paraId="408D25F1" w14:textId="77777777" w:rsidR="0062781A" w:rsidRPr="00643EF4" w:rsidRDefault="0062781A" w:rsidP="0062781A">
      <w:pPr>
        <w:pStyle w:val="Ruller41"/>
        <w:rPr>
          <w:rtl/>
        </w:rPr>
      </w:pPr>
      <w:r w:rsidRPr="00643EF4">
        <w:rPr>
          <w:rtl/>
        </w:rPr>
        <w:t>27.</w:t>
      </w:r>
      <w:r w:rsidRPr="00643EF4">
        <w:rPr>
          <w:rtl/>
        </w:rPr>
        <w:tab/>
        <w:t xml:space="preserve">תכליתו השנייה של חוק ההסדרה היא </w:t>
      </w:r>
      <w:r w:rsidRPr="00643EF4">
        <w:rPr>
          <w:rFonts w:ascii="Miriam" w:hAnsi="Miriam" w:cs="Miriam"/>
          <w:color w:val="000000"/>
          <w:spacing w:val="0"/>
          <w:sz w:val="24"/>
          <w:szCs w:val="24"/>
          <w:rtl/>
        </w:rPr>
        <w:t>תכלית אנושית-חברתית</w:t>
      </w:r>
      <w:r w:rsidRPr="00643EF4">
        <w:rPr>
          <w:rtl/>
        </w:rPr>
        <w:t xml:space="preserve">. עניינה </w:t>
      </w:r>
      <w:r w:rsidRPr="00643EF4">
        <w:rPr>
          <w:rFonts w:ascii="Miriam" w:hAnsi="Miriam" w:cs="Miriam"/>
          <w:color w:val="000000"/>
          <w:spacing w:val="0"/>
          <w:sz w:val="24"/>
          <w:szCs w:val="24"/>
          <w:rtl/>
        </w:rPr>
        <w:t>"להסיר, אחת ולתמיד, את עננת הקיפאון וחוסר הוודאות המרחפת על פני קהילות שלמות, חלקן ותיקות בשנים"</w:t>
      </w:r>
      <w:r w:rsidRPr="00643EF4">
        <w:rPr>
          <w:rtl/>
        </w:rPr>
        <w:t xml:space="preserve"> (סעיף 88 לתגובה המקדמית מטעם הממשלה). עמד על כך היועץ המשפטי לכנסת, עו"ד איל ינון, בפתח הישיבה הראשונה של הוועדה המשותפת שדנה בחוק ההסדרה:</w:t>
      </w:r>
    </w:p>
    <w:p w14:paraId="01F556DC" w14:textId="77777777" w:rsidR="0062781A" w:rsidRPr="00643EF4" w:rsidRDefault="0062781A" w:rsidP="0062781A">
      <w:pPr>
        <w:pStyle w:val="Ruller41"/>
        <w:rPr>
          <w:rtl/>
        </w:rPr>
      </w:pPr>
    </w:p>
    <w:p w14:paraId="3C11F443" w14:textId="32C1E339" w:rsidR="0062781A" w:rsidRPr="00643EF4" w:rsidRDefault="0062781A" w:rsidP="0062781A">
      <w:pPr>
        <w:pStyle w:val="Ruller41"/>
        <w:ind w:left="567" w:right="567"/>
        <w:rPr>
          <w:rFonts w:ascii="Miriam" w:hAnsi="Miriam" w:cs="Miriam"/>
          <w:sz w:val="24"/>
          <w:szCs w:val="24"/>
          <w:rtl/>
        </w:rPr>
      </w:pPr>
      <w:r w:rsidRPr="00643EF4">
        <w:rPr>
          <w:rFonts w:ascii="Miriam" w:hAnsi="Miriam" w:cs="Miriam"/>
          <w:color w:val="000000"/>
          <w:spacing w:val="0"/>
          <w:sz w:val="24"/>
          <w:szCs w:val="24"/>
          <w:rtl/>
        </w:rPr>
        <w:t>"מהי הסיטואציה אותה חברי הכנסת המציעים והיוזמים מבקשים להסדיר – כתוצאה מהתנהלות בעייתית ביותר, שלה היו שותפים גורמים רבים, ובתוכם גם גורמים שלטוניים, נוצרה במקומות מסויימים ביהודה ושומרון התנגשות חזיתית בין הדין לבין המציאות. תוצאתה של התנגשות זו – מצוקה הומניטרית קשה של עשרות משפחות ישראליות שנאלצות להתמודד עם גזרה שקשה מאוד להתמודד עימה: הצורך לפנות ביתן ולהעתיק את </w:t>
      </w:r>
      <w:bookmarkStart w:id="9" w:name="_ETM_Q1_1150192"/>
      <w:bookmarkEnd w:id="9"/>
      <w:r w:rsidRPr="00643EF4">
        <w:rPr>
          <w:rFonts w:ascii="Miriam" w:hAnsi="Miriam" w:cs="Miriam"/>
          <w:color w:val="000000"/>
          <w:spacing w:val="0"/>
          <w:sz w:val="24"/>
          <w:szCs w:val="24"/>
          <w:rtl/>
        </w:rPr>
        <w:t>מקום מגוריהן על כל המשתמע מכך. רבים מחברי הכנסת חשים </w:t>
      </w:r>
      <w:bookmarkStart w:id="10" w:name="_ETM_Q1_1156964"/>
      <w:bookmarkEnd w:id="10"/>
      <w:r w:rsidRPr="00643EF4">
        <w:rPr>
          <w:rFonts w:ascii="Miriam" w:hAnsi="Miriam" w:cs="Miriam"/>
          <w:color w:val="000000"/>
          <w:spacing w:val="0"/>
          <w:sz w:val="24"/>
          <w:szCs w:val="24"/>
          <w:rtl/>
        </w:rPr>
        <w:t>שהם לא יכולים להיוותר אדישים ואטומים למצוקה </w:t>
      </w:r>
      <w:bookmarkStart w:id="11" w:name="_ETM_Q1_1160843"/>
      <w:bookmarkEnd w:id="11"/>
      <w:r w:rsidRPr="00643EF4">
        <w:rPr>
          <w:rFonts w:ascii="Miriam" w:hAnsi="Miriam" w:cs="Miriam"/>
          <w:color w:val="000000"/>
          <w:spacing w:val="0"/>
          <w:sz w:val="24"/>
          <w:szCs w:val="24"/>
          <w:rtl/>
        </w:rPr>
        <w:t>זו ומבקשים ליצור פתרון שמצד אחד ימנע את המשבר המשפחתי </w:t>
      </w:r>
      <w:bookmarkStart w:id="12" w:name="_ETM_Q1_1164493"/>
      <w:bookmarkEnd w:id="12"/>
      <w:r w:rsidRPr="00643EF4">
        <w:rPr>
          <w:rFonts w:ascii="Miriam" w:hAnsi="Miriam" w:cs="Miriam"/>
          <w:color w:val="000000"/>
          <w:spacing w:val="0"/>
          <w:sz w:val="24"/>
          <w:szCs w:val="24"/>
          <w:rtl/>
        </w:rPr>
        <w:t>והקהילתי שעובר על האנשים האלה, ומצד שני יפצה פיצוי מלא </w:t>
      </w:r>
      <w:bookmarkStart w:id="13" w:name="_ETM_Q1_1167105"/>
      <w:bookmarkEnd w:id="13"/>
      <w:r w:rsidRPr="00643EF4">
        <w:rPr>
          <w:rFonts w:ascii="Miriam" w:hAnsi="Miriam" w:cs="Miriam"/>
          <w:color w:val="000000"/>
          <w:spacing w:val="0"/>
          <w:sz w:val="24"/>
          <w:szCs w:val="24"/>
          <w:rtl/>
        </w:rPr>
        <w:t>ורא</w:t>
      </w:r>
      <w:r w:rsidR="00B7010B">
        <w:rPr>
          <w:rFonts w:ascii="Miriam" w:hAnsi="Miriam" w:cs="Miriam"/>
          <w:color w:val="000000"/>
          <w:spacing w:val="0"/>
          <w:sz w:val="24"/>
          <w:szCs w:val="24"/>
          <w:rtl/>
        </w:rPr>
        <w:t>וי, בין בכסף ובין בקרקע חלופית,</w:t>
      </w:r>
      <w:r w:rsidR="00B7010B">
        <w:rPr>
          <w:rFonts w:ascii="Miriam" w:hAnsi="Miriam" w:cs="Miriam" w:hint="cs"/>
          <w:color w:val="000000"/>
          <w:spacing w:val="0"/>
          <w:sz w:val="24"/>
          <w:szCs w:val="24"/>
          <w:rtl/>
        </w:rPr>
        <w:t xml:space="preserve"> </w:t>
      </w:r>
      <w:r w:rsidRPr="00643EF4">
        <w:rPr>
          <w:rFonts w:ascii="Miriam" w:hAnsi="Miriam" w:cs="Miriam"/>
          <w:color w:val="000000"/>
          <w:spacing w:val="0"/>
          <w:sz w:val="24"/>
          <w:szCs w:val="24"/>
          <w:rtl/>
        </w:rPr>
        <w:t>את מי </w:t>
      </w:r>
      <w:bookmarkStart w:id="14" w:name="_ETM_Q1_1171506"/>
      <w:bookmarkEnd w:id="14"/>
      <w:r w:rsidRPr="00643EF4">
        <w:rPr>
          <w:rFonts w:ascii="Miriam" w:hAnsi="Miriam" w:cs="Miriam"/>
          <w:color w:val="000000"/>
          <w:spacing w:val="0"/>
          <w:sz w:val="24"/>
          <w:szCs w:val="24"/>
          <w:rtl/>
        </w:rPr>
        <w:t>שנקבע כבעלים של הקרקע שעליה נבנו שלא כדין אותם יישובים </w:t>
      </w:r>
      <w:bookmarkStart w:id="15" w:name="_ETM_Q1_1178531"/>
      <w:bookmarkEnd w:id="15"/>
      <w:r w:rsidRPr="00643EF4">
        <w:rPr>
          <w:rFonts w:ascii="Miriam" w:hAnsi="Miriam" w:cs="Miriam"/>
          <w:color w:val="000000"/>
          <w:spacing w:val="0"/>
          <w:sz w:val="24"/>
          <w:szCs w:val="24"/>
          <w:rtl/>
        </w:rPr>
        <w:t>ושכונות"</w:t>
      </w:r>
      <w:r w:rsidRPr="00643EF4">
        <w:rPr>
          <w:rFonts w:ascii="FrankRuehl" w:hAnsi="FrankRuehl"/>
          <w:color w:val="000000"/>
          <w:sz w:val="28"/>
          <w:rtl/>
        </w:rPr>
        <w:t>.</w:t>
      </w:r>
      <w:r w:rsidRPr="00643EF4">
        <w:rPr>
          <w:rFonts w:ascii="FrankRuehl" w:hAnsi="FrankRuehl"/>
          <w:sz w:val="24"/>
          <w:szCs w:val="24"/>
          <w:rtl/>
        </w:rPr>
        <w:t xml:space="preserve">   </w:t>
      </w:r>
    </w:p>
    <w:p w14:paraId="17D48CFB" w14:textId="77777777" w:rsidR="0062781A" w:rsidRPr="00643EF4" w:rsidRDefault="0062781A" w:rsidP="0062781A">
      <w:pPr>
        <w:pStyle w:val="Ruller41"/>
        <w:rPr>
          <w:rtl/>
        </w:rPr>
      </w:pPr>
    </w:p>
    <w:p w14:paraId="50312D1C" w14:textId="3373E38C" w:rsidR="0062781A" w:rsidRPr="00643EF4" w:rsidRDefault="0062781A" w:rsidP="0062781A">
      <w:pPr>
        <w:pStyle w:val="Ruller41"/>
        <w:rPr>
          <w:rtl/>
        </w:rPr>
      </w:pPr>
      <w:r w:rsidRPr="00643EF4">
        <w:rPr>
          <w:rtl/>
        </w:rPr>
        <w:t>28.</w:t>
      </w:r>
      <w:r w:rsidRPr="00643EF4">
        <w:rPr>
          <w:rtl/>
        </w:rPr>
        <w:tab/>
        <w:t>שנים של בנייה בחסות המדינה ובעידודה, יצרו מציאות בשטח. המציאות והדין, כפי שהיטיב לתאר זאת עו"ד ינון, נמצאים על מסלול של 'התנגשות חזיתית'; ובתווך, אלפי משפחות הנתונות בקיפאון קנייני ותכנוני, ובחשש מתמיד מפני פינוי והריסת ב</w:t>
      </w:r>
      <w:r w:rsidRPr="00643EF4">
        <w:rPr>
          <w:rFonts w:hint="cs"/>
          <w:rtl/>
        </w:rPr>
        <w:t>ֵּ</w:t>
      </w:r>
      <w:r w:rsidRPr="00643EF4">
        <w:rPr>
          <w:rtl/>
        </w:rPr>
        <w:t xml:space="preserve">יתן. מתן פתרון למציאות זו, כפי שמבקש לעשות חוק ההסדרה, הריהו לבטח תכלית ראויה. היועץ המשפטי לממשלה טען, כי אופיו הגורף של ההסדר פוגם בהיותה של התכלית האנושית תכלית ראויה: </w:t>
      </w:r>
      <w:r w:rsidRPr="00643EF4">
        <w:rPr>
          <w:rFonts w:ascii="Miriam" w:hAnsi="Miriam" w:cs="Miriam"/>
          <w:color w:val="000000"/>
          <w:spacing w:val="0"/>
          <w:sz w:val="24"/>
          <w:szCs w:val="24"/>
          <w:rtl/>
        </w:rPr>
        <w:t>"פגיעה במקרקעין פרטיים לשם הכשרת בנייה שבוצעה בחוסר תום לב, בפגיעה מודעת בזכויות הקניין של הזולת ותוך התעלמות מופגנת משלטון החוק, אינה יכולה להיחשב כ'תכלית ראויה' מבחינה חוקתית"</w:t>
      </w:r>
      <w:r w:rsidRPr="00643EF4">
        <w:rPr>
          <w:rtl/>
        </w:rPr>
        <w:t xml:space="preserve"> (סעיף 143 לתגובה המקדמית מטעם היועץ המשפטי לממשלה). על רקע הדברים הללו קבעה חברתי</w:t>
      </w:r>
      <w:r w:rsidRPr="00643EF4">
        <w:rPr>
          <w:rFonts w:hint="cs"/>
          <w:rtl/>
        </w:rPr>
        <w:t xml:space="preserve"> הנשיאה</w:t>
      </w:r>
      <w:r w:rsidRPr="00643EF4">
        <w:rPr>
          <w:rtl/>
        </w:rPr>
        <w:t>, כי התכלית האנושית ת</w:t>
      </w:r>
      <w:r w:rsidR="00296EAB">
        <w:rPr>
          <w:rFonts w:hint="cs"/>
          <w:rtl/>
        </w:rPr>
        <w:t>י</w:t>
      </w:r>
      <w:r w:rsidRPr="00643EF4">
        <w:rPr>
          <w:rtl/>
        </w:rPr>
        <w:t xml:space="preserve">חשב לראויה, רק במצבים שבהם מתקיימים שני התנאים יחדיו: תום לב </w:t>
      </w:r>
      <w:r w:rsidRPr="00643EF4">
        <w:rPr>
          <w:rFonts w:ascii="Miriam" w:hAnsi="Miriam" w:cs="Miriam"/>
          <w:color w:val="000000"/>
          <w:spacing w:val="0"/>
          <w:sz w:val="24"/>
          <w:szCs w:val="24"/>
          <w:rtl/>
        </w:rPr>
        <w:t>וגם</w:t>
      </w:r>
      <w:r w:rsidRPr="00643EF4">
        <w:rPr>
          <w:sz w:val="18"/>
          <w:szCs w:val="24"/>
          <w:rtl/>
        </w:rPr>
        <w:t xml:space="preserve"> </w:t>
      </w:r>
      <w:r w:rsidRPr="00643EF4">
        <w:rPr>
          <w:rtl/>
        </w:rPr>
        <w:t>הסכמת המדינה (פסקה 85 לחוות דעתה).</w:t>
      </w:r>
    </w:p>
    <w:p w14:paraId="099C604B" w14:textId="77777777" w:rsidR="0062781A" w:rsidRPr="00643EF4" w:rsidRDefault="0062781A" w:rsidP="0062781A">
      <w:pPr>
        <w:pStyle w:val="Ruller41"/>
        <w:rPr>
          <w:rtl/>
        </w:rPr>
      </w:pPr>
    </w:p>
    <w:p w14:paraId="4F26DDE9" w14:textId="77777777" w:rsidR="0062781A" w:rsidRPr="00643EF4" w:rsidRDefault="0062781A" w:rsidP="0062781A">
      <w:pPr>
        <w:pStyle w:val="Ruller41"/>
        <w:rPr>
          <w:rtl/>
        </w:rPr>
      </w:pPr>
      <w:r w:rsidRPr="00643EF4">
        <w:rPr>
          <w:rtl/>
        </w:rPr>
        <w:t>29.</w:t>
      </w:r>
      <w:r w:rsidRPr="00643EF4">
        <w:rPr>
          <w:rtl/>
        </w:rPr>
        <w:tab/>
        <w:t xml:space="preserve">למסקנה זו אין בידי להסכים, וזאת מחמת שני טעמים: </w:t>
      </w:r>
      <w:r w:rsidRPr="00643EF4">
        <w:rPr>
          <w:rFonts w:ascii="Miriam" w:hAnsi="Miriam" w:cs="Miriam"/>
          <w:color w:val="000000"/>
          <w:spacing w:val="0"/>
          <w:sz w:val="24"/>
          <w:szCs w:val="24"/>
          <w:rtl/>
        </w:rPr>
        <w:t>ראשי</w:t>
      </w:r>
      <w:r w:rsidRPr="00643EF4">
        <w:rPr>
          <w:rFonts w:ascii="Miriam" w:hAnsi="Miriam" w:cs="Miriam"/>
          <w:sz w:val="18"/>
          <w:szCs w:val="24"/>
          <w:rtl/>
        </w:rPr>
        <w:t>ת</w:t>
      </w:r>
      <w:r w:rsidRPr="00643EF4">
        <w:rPr>
          <w:rtl/>
        </w:rPr>
        <w:t xml:space="preserve">, מבחינה פרשנית, קריאת המילה "או" כמילה מחברת, המצרפת יחדיו שני תנאים עומדת בסתירה מובהקת ללשון החוק ולתכליתו. זו הלשון: </w:t>
      </w:r>
      <w:r w:rsidRPr="00643EF4">
        <w:rPr>
          <w:rFonts w:ascii="Miriam" w:hAnsi="Miriam" w:cs="Miriam"/>
          <w:color w:val="000000"/>
          <w:spacing w:val="0"/>
          <w:sz w:val="24"/>
          <w:szCs w:val="24"/>
          <w:rtl/>
        </w:rPr>
        <w:t>"נבנתה בתום לב התיישבות במקרקעין הטעונים הסדרה או ניתנה הסכמת המדינה לבנייתה"</w:t>
      </w:r>
      <w:r w:rsidRPr="00643EF4">
        <w:rPr>
          <w:rtl/>
        </w:rPr>
        <w:t xml:space="preserve"> (סעיף 3). "או" היא </w:t>
      </w:r>
      <w:r w:rsidRPr="00643EF4">
        <w:rPr>
          <w:rFonts w:ascii="Miriam" w:hAnsi="Miriam" w:cs="Miriam"/>
          <w:color w:val="000000"/>
          <w:spacing w:val="0"/>
          <w:sz w:val="24"/>
          <w:szCs w:val="24"/>
          <w:rtl/>
        </w:rPr>
        <w:t>"מילת-חיבור המורה על בּרֵירה בין עניינים אחדים"</w:t>
      </w:r>
      <w:r w:rsidRPr="00643EF4">
        <w:rPr>
          <w:rtl/>
        </w:rPr>
        <w:t xml:space="preserve"> (</w:t>
      </w:r>
      <w:r w:rsidRPr="00643EF4">
        <w:rPr>
          <w:rFonts w:ascii="Miriam" w:hAnsi="Miriam" w:cs="Miriam"/>
          <w:color w:val="000000"/>
          <w:spacing w:val="0"/>
          <w:sz w:val="24"/>
          <w:szCs w:val="24"/>
          <w:rtl/>
        </w:rPr>
        <w:t>א</w:t>
      </w:r>
      <w:r w:rsidRPr="00643EF4">
        <w:rPr>
          <w:rFonts w:ascii="Miriam" w:hAnsi="Miriam" w:cs="Miriam" w:hint="cs"/>
          <w:color w:val="000000"/>
          <w:spacing w:val="0"/>
          <w:sz w:val="24"/>
          <w:szCs w:val="24"/>
          <w:rtl/>
        </w:rPr>
        <w:t xml:space="preserve">ברהם </w:t>
      </w:r>
      <w:r w:rsidRPr="00643EF4">
        <w:rPr>
          <w:rFonts w:ascii="Miriam" w:hAnsi="Miriam" w:cs="Miriam"/>
          <w:color w:val="000000"/>
          <w:spacing w:val="0"/>
          <w:sz w:val="24"/>
          <w:szCs w:val="24"/>
          <w:rtl/>
        </w:rPr>
        <w:t>אבן-שושן</w:t>
      </w:r>
      <w:r w:rsidRPr="00643EF4">
        <w:rPr>
          <w:rtl/>
        </w:rPr>
        <w:t xml:space="preserve"> </w:t>
      </w:r>
      <w:r w:rsidRPr="00643EF4">
        <w:rPr>
          <w:rFonts w:hint="cs"/>
          <w:rtl/>
        </w:rPr>
        <w:t>מי</w:t>
      </w:r>
      <w:r w:rsidRPr="00643EF4">
        <w:rPr>
          <w:rtl/>
        </w:rPr>
        <w:t xml:space="preserve">לון </w:t>
      </w:r>
      <w:r w:rsidRPr="00643EF4">
        <w:rPr>
          <w:rFonts w:hint="cs"/>
          <w:rtl/>
        </w:rPr>
        <w:t>אבן-שושן המרוכז 24 (2006</w:t>
      </w:r>
      <w:r w:rsidRPr="00643EF4">
        <w:rPr>
          <w:rtl/>
        </w:rPr>
        <w:t>)</w:t>
      </w:r>
      <w:r w:rsidRPr="00643EF4">
        <w:rPr>
          <w:rFonts w:hint="cs"/>
          <w:rtl/>
        </w:rPr>
        <w:t>)</w:t>
      </w:r>
      <w:r w:rsidRPr="00643EF4">
        <w:rPr>
          <w:rtl/>
        </w:rPr>
        <w:t xml:space="preserve">; כלומר </w:t>
      </w:r>
      <w:r w:rsidRPr="00643EF4">
        <w:rPr>
          <w:rFonts w:ascii="Century" w:hAnsi="Century"/>
          <w:rtl/>
        </w:rPr>
        <w:t>–</w:t>
      </w:r>
      <w:r w:rsidRPr="00643EF4">
        <w:rPr>
          <w:rtl/>
        </w:rPr>
        <w:t xml:space="preserve"> או תום לב, או הסכמת המדינה; לא </w:t>
      </w:r>
      <w:r w:rsidRPr="00643EF4">
        <w:rPr>
          <w:rFonts w:ascii="Century" w:hAnsi="Century"/>
          <w:rtl/>
        </w:rPr>
        <w:t>–</w:t>
      </w:r>
      <w:r w:rsidRPr="00643EF4">
        <w:rPr>
          <w:rtl/>
        </w:rPr>
        <w:t xml:space="preserve"> גם זה וגם זו; </w:t>
      </w:r>
      <w:r w:rsidRPr="00643EF4">
        <w:rPr>
          <w:rFonts w:ascii="Miriam" w:hAnsi="Miriam" w:cs="Miriam"/>
          <w:color w:val="000000"/>
          <w:spacing w:val="0"/>
          <w:sz w:val="24"/>
          <w:szCs w:val="24"/>
          <w:rtl/>
        </w:rPr>
        <w:t>שנית</w:t>
      </w:r>
      <w:r w:rsidRPr="00643EF4">
        <w:rPr>
          <w:rtl/>
        </w:rPr>
        <w:t xml:space="preserve">, מבחינה מתודולוגית, כאמור, </w:t>
      </w:r>
      <w:r w:rsidRPr="00643EF4">
        <w:rPr>
          <w:rtl/>
        </w:rPr>
        <w:lastRenderedPageBreak/>
        <w:t>היותה של התכלית ראויה או לא, אינו נגזר מן האמצעי הננקט לשם הגשמתה. אם חל חוק ההסדרה גם ביחס למצבים שבהם התכלית האנושית אינה מתקיימת, אזי הפגם הוא ב</w:t>
      </w:r>
      <w:r w:rsidRPr="00A26BD4">
        <w:rPr>
          <w:rFonts w:ascii="Century" w:hAnsi="Century" w:cs="Miriam"/>
          <w:b/>
          <w:spacing w:val="0"/>
          <w:szCs w:val="24"/>
          <w:rtl/>
        </w:rPr>
        <w:t>מידתיות</w:t>
      </w:r>
      <w:r w:rsidRPr="00643EF4">
        <w:rPr>
          <w:rtl/>
        </w:rPr>
        <w:t xml:space="preserve"> החוק; לא ב</w:t>
      </w:r>
      <w:r w:rsidRPr="00A26BD4">
        <w:rPr>
          <w:rFonts w:ascii="Century" w:hAnsi="Century" w:cs="Miriam"/>
          <w:b/>
          <w:spacing w:val="0"/>
          <w:szCs w:val="24"/>
          <w:rtl/>
        </w:rPr>
        <w:t>תכליתו</w:t>
      </w:r>
      <w:r w:rsidRPr="00643EF4">
        <w:rPr>
          <w:rtl/>
        </w:rPr>
        <w:t>. אמנם כן, כפי שאפרט להלן, גם אני סבור כי יש מקום לצמצם קמעא את היקף תחולתו של החוק. אדרש לכך בהרחבה בהמשך, במסגרת הדיון על מידתיות החוק.</w:t>
      </w:r>
    </w:p>
    <w:p w14:paraId="211C041F" w14:textId="77777777" w:rsidR="0062781A" w:rsidRPr="00643EF4" w:rsidRDefault="0062781A" w:rsidP="0062781A">
      <w:pPr>
        <w:pStyle w:val="Ruller41"/>
        <w:rPr>
          <w:rtl/>
        </w:rPr>
      </w:pPr>
      <w:r w:rsidRPr="00643EF4">
        <w:rPr>
          <w:rtl/>
        </w:rPr>
        <w:t xml:space="preserve"> </w:t>
      </w:r>
    </w:p>
    <w:p w14:paraId="4AD6CFE2" w14:textId="77777777" w:rsidR="0062781A" w:rsidRPr="00643EF4" w:rsidRDefault="0062781A" w:rsidP="0062781A">
      <w:pPr>
        <w:pStyle w:val="Ruller41"/>
        <w:rPr>
          <w:rtl/>
        </w:rPr>
      </w:pPr>
      <w:r w:rsidRPr="00643EF4">
        <w:rPr>
          <w:rtl/>
        </w:rPr>
        <w:t>30.</w:t>
      </w:r>
      <w:r w:rsidRPr="00643EF4">
        <w:rPr>
          <w:rtl/>
        </w:rPr>
        <w:tab/>
        <w:t>משמצאנו כי חוק ההסדרה מבקש להגשים תכליות ראויות, יש לבחון אם האמצעים שננקטו בו לשם הגשמתן של תכליות אלו מידתיים. לבחינה זו, של שלושת מבחני המידתיות, נפנה עתה.</w:t>
      </w:r>
    </w:p>
    <w:p w14:paraId="2DF1FAE7" w14:textId="77777777" w:rsidR="0062781A" w:rsidRPr="00643EF4" w:rsidRDefault="0062781A" w:rsidP="0062781A">
      <w:pPr>
        <w:pStyle w:val="Ruller41"/>
        <w:rPr>
          <w:rtl/>
        </w:rPr>
      </w:pPr>
    </w:p>
    <w:p w14:paraId="373335AD" w14:textId="5BFC9444" w:rsidR="0062781A" w:rsidRPr="00643EF4" w:rsidRDefault="0062781A" w:rsidP="0062781A">
      <w:pPr>
        <w:pStyle w:val="Ruller41"/>
        <w:spacing w:line="480" w:lineRule="auto"/>
        <w:rPr>
          <w:rFonts w:ascii="Miriam" w:hAnsi="Miriam" w:cs="Miriam"/>
          <w:color w:val="000000"/>
          <w:spacing w:val="0"/>
          <w:sz w:val="24"/>
          <w:szCs w:val="24"/>
          <w:rtl/>
        </w:rPr>
      </w:pPr>
      <w:r w:rsidRPr="00643EF4">
        <w:rPr>
          <w:rFonts w:ascii="Miriam" w:hAnsi="Miriam" w:cs="Miriam"/>
          <w:color w:val="000000"/>
          <w:spacing w:val="0"/>
          <w:sz w:val="24"/>
          <w:szCs w:val="24"/>
          <w:rtl/>
        </w:rPr>
        <w:t>קשר רציונלי</w:t>
      </w:r>
    </w:p>
    <w:p w14:paraId="03D0E001" w14:textId="77777777" w:rsidR="0043011E" w:rsidRPr="00643EF4" w:rsidRDefault="0043011E" w:rsidP="0062781A">
      <w:pPr>
        <w:pStyle w:val="Ruller41"/>
        <w:spacing w:line="480" w:lineRule="auto"/>
        <w:rPr>
          <w:rFonts w:ascii="Miriam" w:hAnsi="Miriam" w:cs="Miriam"/>
          <w:sz w:val="6"/>
          <w:szCs w:val="6"/>
          <w:rtl/>
        </w:rPr>
      </w:pPr>
    </w:p>
    <w:p w14:paraId="429F0BCF" w14:textId="77777777" w:rsidR="0062781A" w:rsidRPr="00643EF4" w:rsidRDefault="0062781A" w:rsidP="0062781A">
      <w:pPr>
        <w:pStyle w:val="Ruller41"/>
        <w:rPr>
          <w:rtl/>
        </w:rPr>
      </w:pPr>
      <w:r w:rsidRPr="00643EF4">
        <w:rPr>
          <w:rtl/>
        </w:rPr>
        <w:t>31.</w:t>
      </w:r>
      <w:r w:rsidRPr="00643EF4">
        <w:rPr>
          <w:rtl/>
        </w:rPr>
        <w:tab/>
        <w:t xml:space="preserve">מבחן המשנה הראשון, מבחן הקשר הרציונלי, נועד לוודא כי האמצעי הפוגעני שהחוק נוקט בו, מתאים להגשמתה של המטרה אותה מבקש החוק להגשים. </w:t>
      </w:r>
      <w:r w:rsidRPr="00643EF4">
        <w:rPr>
          <w:rFonts w:ascii="Century" w:hAnsi="Century"/>
          <w:rtl/>
        </w:rPr>
        <w:t>מבחן זה, בעיקרו, הוא מבחן סף</w:t>
      </w:r>
      <w:r w:rsidRPr="00643EF4">
        <w:rPr>
          <w:rFonts w:ascii="Century" w:hAnsi="Century" w:hint="cs"/>
          <w:rtl/>
        </w:rPr>
        <w:t>:</w:t>
      </w:r>
      <w:r w:rsidRPr="00643EF4">
        <w:rPr>
          <w:rFonts w:ascii="Century" w:hAnsi="Century"/>
          <w:rtl/>
        </w:rPr>
        <w:t xml:space="preserve"> </w:t>
      </w:r>
      <w:r w:rsidRPr="00643EF4">
        <w:rPr>
          <w:rFonts w:ascii="Century" w:hAnsi="Century" w:cs="Miriam"/>
          <w:b/>
          <w:spacing w:val="0"/>
          <w:szCs w:val="24"/>
          <w:rtl/>
        </w:rPr>
        <w:t>"כל מטרתו לתת פתרון מהיר למקרים חריפים של חוסר-התאמה בין המטרה לאמצעי, ובכך לקצר את הבחינה החוקתית"</w:t>
      </w:r>
      <w:r w:rsidRPr="00643EF4">
        <w:rPr>
          <w:rFonts w:ascii="Century" w:hAnsi="Century"/>
          <w:rtl/>
        </w:rPr>
        <w:t xml:space="preserve"> (אהרן ברק </w:t>
      </w:r>
      <w:r w:rsidRPr="00643EF4">
        <w:rPr>
          <w:rFonts w:ascii="Century" w:hAnsi="Century" w:cs="Miriam"/>
          <w:b/>
          <w:spacing w:val="0"/>
          <w:szCs w:val="24"/>
          <w:rtl/>
        </w:rPr>
        <w:t>מידתיות במשפט</w:t>
      </w:r>
      <w:r w:rsidRPr="00643EF4">
        <w:rPr>
          <w:rFonts w:ascii="Century" w:hAnsi="Century"/>
          <w:rtl/>
        </w:rPr>
        <w:t xml:space="preserve"> 389 (2010) (להלן: </w:t>
      </w:r>
      <w:r w:rsidRPr="00643EF4">
        <w:rPr>
          <w:rFonts w:ascii="Century" w:hAnsi="Century" w:cs="Miriam"/>
          <w:b/>
          <w:spacing w:val="0"/>
          <w:szCs w:val="24"/>
          <w:rtl/>
        </w:rPr>
        <w:t xml:space="preserve">ברק </w:t>
      </w:r>
      <w:bookmarkStart w:id="16" w:name="_Hlk38894828"/>
      <w:r w:rsidRPr="00643EF4">
        <w:rPr>
          <w:rFonts w:ascii="Century" w:hAnsi="Century" w:cs="Miriam"/>
          <w:b/>
          <w:spacing w:val="0"/>
          <w:szCs w:val="24"/>
          <w:rtl/>
        </w:rPr>
        <w:t>–</w:t>
      </w:r>
      <w:bookmarkEnd w:id="16"/>
      <w:r w:rsidRPr="00643EF4">
        <w:rPr>
          <w:rFonts w:ascii="Century" w:hAnsi="Century" w:cs="Miriam"/>
          <w:b/>
          <w:spacing w:val="0"/>
          <w:szCs w:val="24"/>
          <w:rtl/>
        </w:rPr>
        <w:t xml:space="preserve"> מידתיות</w:t>
      </w:r>
      <w:r w:rsidRPr="00643EF4">
        <w:rPr>
          <w:rFonts w:ascii="Century" w:hAnsi="Century"/>
          <w:rtl/>
        </w:rPr>
        <w:t xml:space="preserve">)). האמצעי שבו נקט המחוקק – רישומם של מקרקעין הטעונים הסדרה, או נטילת זכויות השימוש וההחזקה בהם – מגשים את תכליותיו של החוק עליהן עמדנו לעיל. בכך צולח חוק ההסדרה את מבחן הקשר הרציונלי.  </w:t>
      </w:r>
      <w:r w:rsidRPr="00643EF4">
        <w:rPr>
          <w:rtl/>
        </w:rPr>
        <w:t xml:space="preserve">  </w:t>
      </w:r>
    </w:p>
    <w:p w14:paraId="6A94D57F" w14:textId="77777777" w:rsidR="0062781A" w:rsidRPr="00643EF4" w:rsidRDefault="0062781A" w:rsidP="0062781A">
      <w:pPr>
        <w:pStyle w:val="Ruller41"/>
        <w:rPr>
          <w:rtl/>
        </w:rPr>
      </w:pPr>
    </w:p>
    <w:p w14:paraId="6ACF460C" w14:textId="2FEE913A" w:rsidR="0062781A" w:rsidRPr="00643EF4" w:rsidRDefault="0062781A" w:rsidP="0062781A">
      <w:pPr>
        <w:pStyle w:val="Ruller41"/>
        <w:spacing w:line="480" w:lineRule="auto"/>
        <w:rPr>
          <w:rFonts w:ascii="Miriam" w:hAnsi="Miriam" w:cs="Miriam"/>
          <w:sz w:val="18"/>
          <w:szCs w:val="24"/>
          <w:rtl/>
        </w:rPr>
      </w:pPr>
      <w:r w:rsidRPr="00643EF4">
        <w:rPr>
          <w:rFonts w:ascii="Miriam" w:hAnsi="Miriam" w:cs="Miriam"/>
          <w:color w:val="000000"/>
          <w:spacing w:val="0"/>
          <w:sz w:val="24"/>
          <w:szCs w:val="24"/>
          <w:rtl/>
        </w:rPr>
        <w:t>אמצעי שפגיעתו פחותה</w:t>
      </w:r>
    </w:p>
    <w:p w14:paraId="6E463343" w14:textId="77777777" w:rsidR="0043011E" w:rsidRPr="00643EF4" w:rsidRDefault="0043011E" w:rsidP="0062781A">
      <w:pPr>
        <w:pStyle w:val="Ruller41"/>
        <w:spacing w:line="480" w:lineRule="auto"/>
        <w:rPr>
          <w:rFonts w:ascii="Miriam" w:hAnsi="Miriam" w:cs="Miriam"/>
          <w:sz w:val="2"/>
          <w:szCs w:val="6"/>
          <w:rtl/>
        </w:rPr>
      </w:pPr>
    </w:p>
    <w:p w14:paraId="2CBF1D31" w14:textId="5F21237C" w:rsidR="0062781A" w:rsidRPr="00643EF4" w:rsidRDefault="0062781A" w:rsidP="0062781A">
      <w:pPr>
        <w:pStyle w:val="Ruller41"/>
        <w:rPr>
          <w:rFonts w:ascii="Century" w:hAnsi="Century"/>
        </w:rPr>
      </w:pPr>
      <w:r w:rsidRPr="00643EF4">
        <w:rPr>
          <w:rtl/>
        </w:rPr>
        <w:t>32.</w:t>
      </w:r>
      <w:r w:rsidRPr="00643EF4">
        <w:rPr>
          <w:rtl/>
        </w:rPr>
        <w:tab/>
      </w:r>
      <w:r w:rsidRPr="00643EF4">
        <w:rPr>
          <w:rFonts w:ascii="Century" w:hAnsi="Century"/>
          <w:rtl/>
        </w:rPr>
        <w:t xml:space="preserve">מבחן זה נועד לברר אם המחוקק בחר – מבין מגוון האמצעים העומדים לרשותו, ואשר מגשימים את תכליתו הראויה של החוק – את האמצעי שפגיעתו בזכות החוקתית היא הפחותה. מבחן זה מורכב משני יסודות: </w:t>
      </w:r>
      <w:r w:rsidRPr="00643EF4">
        <w:rPr>
          <w:rFonts w:ascii="Miriam" w:hAnsi="Miriam" w:cs="Miriam"/>
          <w:color w:val="000000"/>
          <w:spacing w:val="0"/>
          <w:sz w:val="24"/>
          <w:szCs w:val="24"/>
          <w:rtl/>
        </w:rPr>
        <w:t>האחד</w:t>
      </w:r>
      <w:r w:rsidRPr="00643EF4">
        <w:rPr>
          <w:rFonts w:ascii="Century" w:hAnsi="Century"/>
          <w:rtl/>
        </w:rPr>
        <w:t>, קיימת חלופה שבכוחה להגשים את מטרתו הראויה של החוק</w:t>
      </w:r>
      <w:r w:rsidR="0065218B">
        <w:rPr>
          <w:rFonts w:ascii="Century" w:hAnsi="Century" w:hint="cs"/>
          <w:rtl/>
        </w:rPr>
        <w:t>,</w:t>
      </w:r>
      <w:r w:rsidRPr="00643EF4">
        <w:rPr>
          <w:rFonts w:ascii="Century" w:hAnsi="Century"/>
          <w:rtl/>
        </w:rPr>
        <w:t xml:space="preserve"> באותה מידה כמו החוק הפוגע; </w:t>
      </w:r>
      <w:r w:rsidRPr="00643EF4">
        <w:rPr>
          <w:rFonts w:ascii="Miriam" w:hAnsi="Miriam" w:cs="Miriam"/>
          <w:color w:val="000000"/>
          <w:spacing w:val="0"/>
          <w:sz w:val="24"/>
          <w:szCs w:val="24"/>
          <w:rtl/>
        </w:rPr>
        <w:t>השני</w:t>
      </w:r>
      <w:r w:rsidRPr="00643EF4">
        <w:rPr>
          <w:rFonts w:ascii="Century" w:hAnsi="Century"/>
          <w:rtl/>
        </w:rPr>
        <w:t>, פגיעתה של החלופה בזכות החוקתית פחותה מפגיעתו של החוק הפוגע (</w:t>
      </w:r>
      <w:r w:rsidRPr="00643EF4">
        <w:rPr>
          <w:rFonts w:ascii="Miriam" w:hAnsi="Miriam" w:cs="Miriam"/>
          <w:color w:val="000000"/>
          <w:spacing w:val="0"/>
          <w:sz w:val="24"/>
          <w:szCs w:val="24"/>
          <w:rtl/>
        </w:rPr>
        <w:t>ברק – מידתיות</w:t>
      </w:r>
      <w:r w:rsidRPr="00643EF4">
        <w:rPr>
          <w:rFonts w:ascii="Century" w:hAnsi="Century"/>
          <w:rtl/>
        </w:rPr>
        <w:t>, בעמ' 399).</w:t>
      </w:r>
    </w:p>
    <w:p w14:paraId="3ACFAAC1" w14:textId="77777777" w:rsidR="0062781A" w:rsidRPr="00643EF4" w:rsidRDefault="0062781A" w:rsidP="0062781A">
      <w:pPr>
        <w:pStyle w:val="Ruller41"/>
        <w:rPr>
          <w:rFonts w:ascii="Century" w:hAnsi="Century"/>
          <w:rtl/>
        </w:rPr>
      </w:pPr>
    </w:p>
    <w:p w14:paraId="4BD692AB" w14:textId="77777777" w:rsidR="0062781A" w:rsidRPr="00643EF4" w:rsidRDefault="0062781A" w:rsidP="0062781A">
      <w:pPr>
        <w:pStyle w:val="Ruller41"/>
        <w:rPr>
          <w:rFonts w:ascii="Century" w:hAnsi="Century"/>
          <w:rtl/>
        </w:rPr>
      </w:pPr>
      <w:r w:rsidRPr="00643EF4">
        <w:rPr>
          <w:rFonts w:ascii="Century" w:hAnsi="Century"/>
          <w:rtl/>
        </w:rPr>
        <w:t>33.</w:t>
      </w:r>
      <w:r w:rsidRPr="00643EF4">
        <w:rPr>
          <w:rFonts w:ascii="Century" w:hAnsi="Century"/>
          <w:rtl/>
        </w:rPr>
        <w:tab/>
        <w:t xml:space="preserve">היועץ המשפטי לממשלה, ובעקבותיו חברתי הנשיאה, צמצמו כאמור באופן משמעותי את תכליותיו הראויות של חוק ההסדרה. לשיטתם, תכליתו הראויה היחידה של החוק, היא מתן מענה למתיישבים תמי-לב שפעלו בסיוע הרשויות, ולימים התברר כי בתיהם נבנו על אדמות פרטיות. ממילא החלופות שבחנו היו מצומצמות מלכתחילה, רק לבנייה שהצורך בהסדרתה נובע מעבודתו של 'צוות קו כחול'. בנייה זו, כך על-פי הנתונים שהוצגו לפנינו, מהווה כ-30% בלבד מן הבנייה שבה מבקש לטפל חוק ההסדרה (1,048 מבנים מתוך 3,455 מבנים שנבנו על קרקע פרטית; נספח מש/2 לתגובה המקדמית מטעם הממשלה). גם החלופות שהוצעו – סעיף 5 לצו בדבר רכוש ממשלתי, דיני השיהוי והסדרים נוספים החלים באזור (ראו פסקאות 92-90 לחוות דעתה של </w:t>
      </w:r>
      <w:r w:rsidRPr="00643EF4">
        <w:rPr>
          <w:rFonts w:ascii="Century" w:hAnsi="Century"/>
          <w:rtl/>
        </w:rPr>
        <w:lastRenderedPageBreak/>
        <w:t>חברתי) – אינן מספקות מענה מלא לאותו חלק של 30% מן הבנייה הטעונה הסדרה. חברתי מכירה ב</w:t>
      </w:r>
      <w:r w:rsidRPr="00643EF4">
        <w:rPr>
          <w:rFonts w:ascii="Miriam" w:hAnsi="Miriam" w:cs="Miriam"/>
          <w:color w:val="000000"/>
          <w:spacing w:val="0"/>
          <w:sz w:val="24"/>
          <w:szCs w:val="24"/>
          <w:rtl/>
        </w:rPr>
        <w:t>"היקף החלקי והמוגבל של ההסדרים החלופיים שהוצעו"</w:t>
      </w:r>
      <w:r w:rsidRPr="00643EF4">
        <w:rPr>
          <w:rFonts w:ascii="Century" w:hAnsi="Century"/>
          <w:rtl/>
        </w:rPr>
        <w:t xml:space="preserve"> (פסקה 94 לחוות דעתה), ומטעם זה אינה פוסלת את החוק בשל קיומו של אמצעי שפגיעתו פחותה. אף על-פי כן קובעת חברתי, כי </w:t>
      </w:r>
      <w:r w:rsidRPr="00643EF4">
        <w:rPr>
          <w:rFonts w:ascii="Miriam" w:hAnsi="Miriam" w:cs="Miriam"/>
          <w:color w:val="000000"/>
          <w:spacing w:val="0"/>
          <w:sz w:val="24"/>
          <w:szCs w:val="24"/>
          <w:rtl/>
        </w:rPr>
        <w:t>"קיומם של אמצעים חלופיים אף שהיקפם חלקי, יש לו משמעות לצורך מבחן המשנה השלישי הנוגע למידתיות במובן הצר"</w:t>
      </w:r>
      <w:r w:rsidRPr="00643EF4">
        <w:rPr>
          <w:rFonts w:ascii="Century" w:hAnsi="Century"/>
          <w:rtl/>
        </w:rPr>
        <w:t xml:space="preserve"> (שם). לשיטתה, חלופות חלקיות אלו שוקלות, במאזן הכולל, לחובתו של חוק ההסדרה.</w:t>
      </w:r>
    </w:p>
    <w:p w14:paraId="01C57AD3" w14:textId="77777777" w:rsidR="0062781A" w:rsidRPr="00643EF4" w:rsidRDefault="0062781A" w:rsidP="0062781A">
      <w:pPr>
        <w:pStyle w:val="Ruller41"/>
        <w:rPr>
          <w:rFonts w:ascii="Century" w:hAnsi="Century"/>
          <w:rtl/>
        </w:rPr>
      </w:pPr>
    </w:p>
    <w:p w14:paraId="100595D2" w14:textId="77777777" w:rsidR="0062781A" w:rsidRPr="00643EF4" w:rsidRDefault="0062781A" w:rsidP="0062781A">
      <w:pPr>
        <w:pStyle w:val="Ruller41"/>
        <w:rPr>
          <w:rFonts w:ascii="Century" w:hAnsi="Century"/>
          <w:rtl/>
        </w:rPr>
      </w:pPr>
      <w:r w:rsidRPr="00643EF4">
        <w:rPr>
          <w:rFonts w:ascii="Century" w:hAnsi="Century"/>
          <w:rtl/>
        </w:rPr>
        <w:t>34.</w:t>
      </w:r>
      <w:r w:rsidRPr="00643EF4">
        <w:rPr>
          <w:rFonts w:ascii="Century" w:hAnsi="Century"/>
          <w:rtl/>
        </w:rPr>
        <w:tab/>
        <w:t>כאמור, אני חלוק על חברתי הנשיאה בשאלת התכלית הראויה. לגישתי, תכליתו הראויה של החוק אינה מצומצמת אך ורק להסדרת אותם מבנים שנגרעו מאדמות מדינה בשל עבודתו של 'צוות קו כחול'. תכליותיו הראויות של החוק רחבות יותר, וממילא ברי כי אין בחלופות שעליהן עמד היועץ המשפטי לממשלה כדי להגשים תכליות אלו. יחד עם זאת, יש צדק בטענה כי תחולתו של החוק רחבה מדי. האם התחולה הרחבה הזו מצדיקה את ביטולו של חוק ההסדרה? אני סבור שלא. אין זה פגם היורד לשורשו של החוק, אלא כזה שניתן לתיקון. כזכור, בצד בקשתה לאמץ את עמדת הממשלה ולדחות את העתירות, ביקשה הכנסת, למיצער, לשרטט קווים מנחים לתיקון החוק כדי שיעמוד בביקורת השיפוטית. כפי שיבואר להלן, אני סבור כי יש לקצץ קמעא את מוטת כנפיו של חוק ההסדרה, לצמצם מקצת מן ההגדרות שבו, ובכך למתן את אופיו הגורף, להפחית מפגיעתו, וכל זאת מבלי שתיגרע האפשרות להגשים באותה מידה את מטרותיו הראויות. כלפי מה הדברים אמורים?</w:t>
      </w:r>
    </w:p>
    <w:p w14:paraId="4151505D" w14:textId="77777777" w:rsidR="0062781A" w:rsidRPr="00643EF4" w:rsidRDefault="0062781A" w:rsidP="0062781A">
      <w:pPr>
        <w:pStyle w:val="Ruller41"/>
        <w:rPr>
          <w:rFonts w:ascii="Century" w:hAnsi="Century"/>
          <w:rtl/>
        </w:rPr>
      </w:pPr>
    </w:p>
    <w:p w14:paraId="6784DDAB" w14:textId="77777777" w:rsidR="0062781A" w:rsidRPr="00643EF4" w:rsidRDefault="0062781A" w:rsidP="0062781A">
      <w:pPr>
        <w:pStyle w:val="Ruller41"/>
        <w:rPr>
          <w:rFonts w:ascii="Century" w:hAnsi="Century"/>
          <w:rtl/>
        </w:rPr>
      </w:pPr>
      <w:r w:rsidRPr="00643EF4">
        <w:rPr>
          <w:rFonts w:ascii="Century" w:hAnsi="Century"/>
          <w:rtl/>
        </w:rPr>
        <w:t>35.</w:t>
      </w:r>
      <w:r w:rsidRPr="00643EF4">
        <w:rPr>
          <w:rFonts w:ascii="Century" w:hAnsi="Century"/>
          <w:rtl/>
        </w:rPr>
        <w:tab/>
        <w:t xml:space="preserve">תחולתו הגורפת של חוק ההסדרה נעוצה בסעיף ההגדרות שבו, סעיף 2. כוונתי לשלושה מונחים, שהגדרתם הרחבה פותחת לרווחה את שערי-החוק, כמעט לכל בנייה הטעונה הסדרה, באשר היא שם. כך לגבי הגדרתה של 'הסכמת המדינה' – </w:t>
      </w:r>
      <w:r w:rsidRPr="00643EF4">
        <w:rPr>
          <w:rFonts w:ascii="Century" w:hAnsi="Century" w:cs="Miriam"/>
          <w:b/>
          <w:spacing w:val="0"/>
          <w:szCs w:val="24"/>
          <w:rtl/>
        </w:rPr>
        <w:t>"במפורש או במשתמע, מראש או לאחר מעשה, לרבות סיוע בהנחת תשתיות, הענקת תמריצים, תכנון תכניות, פרסום פרסומים שנועדו לעודד בנייה או פיתוח או השתתפות בכסף או בעין"</w:t>
      </w:r>
      <w:r w:rsidRPr="00643EF4">
        <w:rPr>
          <w:rFonts w:ascii="Century" w:hAnsi="Century"/>
          <w:rtl/>
        </w:rPr>
        <w:t xml:space="preserve">; כך באשר להגדרת 'התיישבות' – </w:t>
      </w:r>
      <w:r w:rsidRPr="00643EF4">
        <w:rPr>
          <w:rFonts w:ascii="Century" w:hAnsi="Century" w:cs="Miriam"/>
          <w:b/>
          <w:spacing w:val="0"/>
          <w:szCs w:val="24"/>
          <w:rtl/>
        </w:rPr>
        <w:t>"לרבות שכונה או הרחבה של אותה התיישבות, כלל בתי המגורים שבה, המיתקנים, השטחים החקלאיים המשמשים לצורכה, מבני ציבור, אמצעי ייצור, וכן דרכי גישה ותשתיות מים, תקשורת, חשמל וביוב"</w:t>
      </w:r>
      <w:r w:rsidRPr="00643EF4">
        <w:rPr>
          <w:rFonts w:ascii="Century" w:hAnsi="Century"/>
          <w:rtl/>
        </w:rPr>
        <w:t xml:space="preserve">; כך באשר להגדרת 'המדינה' – </w:t>
      </w:r>
      <w:r w:rsidRPr="00643EF4">
        <w:rPr>
          <w:rFonts w:ascii="Century" w:hAnsi="Century" w:cs="Miriam"/>
          <w:b/>
          <w:spacing w:val="0"/>
          <w:szCs w:val="24"/>
          <w:rtl/>
        </w:rPr>
        <w:t>"ממשלת ישראל או משרד ממשרדי הממשלה, רשויות האזור, רשות מקומית או מועצה אזורית בישראל או באזור ומוסד מיישב"</w:t>
      </w:r>
      <w:r w:rsidRPr="00643EF4">
        <w:rPr>
          <w:rFonts w:ascii="Century" w:hAnsi="Century"/>
          <w:rtl/>
        </w:rPr>
        <w:t>. הנה כי כן, עינינו הרואות: הכל בכל מכל כל.</w:t>
      </w:r>
    </w:p>
    <w:p w14:paraId="6F38D9D0" w14:textId="77777777" w:rsidR="0062781A" w:rsidRPr="00643EF4" w:rsidRDefault="0062781A" w:rsidP="0062781A">
      <w:pPr>
        <w:pStyle w:val="Ruller41"/>
        <w:rPr>
          <w:rFonts w:ascii="Century" w:hAnsi="Century"/>
          <w:rtl/>
        </w:rPr>
      </w:pPr>
    </w:p>
    <w:p w14:paraId="7308E198" w14:textId="77777777" w:rsidR="0062781A" w:rsidRPr="00643EF4" w:rsidRDefault="0062781A" w:rsidP="0062781A">
      <w:pPr>
        <w:pStyle w:val="Ruller41"/>
        <w:rPr>
          <w:rFonts w:ascii="Century" w:hAnsi="Century"/>
          <w:rtl/>
        </w:rPr>
      </w:pPr>
      <w:r w:rsidRPr="00643EF4">
        <w:rPr>
          <w:rFonts w:ascii="Century" w:hAnsi="Century"/>
          <w:rtl/>
        </w:rPr>
        <w:t>36.</w:t>
      </w:r>
      <w:r w:rsidRPr="00643EF4">
        <w:rPr>
          <w:rFonts w:ascii="Century" w:hAnsi="Century"/>
          <w:rtl/>
        </w:rPr>
        <w:tab/>
        <w:t xml:space="preserve">התחולה הרחבה הזו, פוגעת בזכות הקניין יותר מכפי שנדרש, בשים לב לתכליות הראויות שבעטיין נחקק חוק ההסדרה מלכתחילה. </w:t>
      </w:r>
      <w:r w:rsidRPr="00643EF4">
        <w:rPr>
          <w:rFonts w:ascii="Century" w:hAnsi="Century" w:cs="Miriam"/>
          <w:b/>
          <w:spacing w:val="0"/>
          <w:szCs w:val="24"/>
          <w:rtl/>
        </w:rPr>
        <w:t xml:space="preserve">"החוק מבקש לתת מענה לסוגיה אנושית וחברתית ראשונה במעלה באותם מקרים שהריסה של אלפי מבנים עלולה להוביל לפגיעה באינטרס מובהק של מדינת ישראל ולפגיעה אנושה במרקם חייהם של אלפי תושבים ישראלים באזור. רצונו של המחוקק הישראלי להסדיר את ההתיישבות ולמנוע את פינויין של משפחות אלו מבתיהם, על כל הכרוך בכך, או לחילופין את הותרתן של שכונות ויישובים </w:t>
      </w:r>
      <w:r w:rsidRPr="00643EF4">
        <w:rPr>
          <w:rFonts w:ascii="Century" w:hAnsi="Century" w:cs="Miriam"/>
          <w:b/>
          <w:spacing w:val="0"/>
          <w:szCs w:val="24"/>
          <w:rtl/>
        </w:rPr>
        <w:lastRenderedPageBreak/>
        <w:t>כשהם קפואים מבחינת האפשרות לנהל בהם חיים תקינים – מהווה תכלית ראויה"</w:t>
      </w:r>
      <w:r w:rsidRPr="00643EF4">
        <w:rPr>
          <w:rFonts w:ascii="Century" w:hAnsi="Century"/>
          <w:rtl/>
        </w:rPr>
        <w:t xml:space="preserve"> (סעיף 95 לתגובה המקדמית מטעם הממשלה; ההדגשות הוספו). הסדרת מבני מגורים, מבני ציבור, דרכי גישה ומתקני תשתיות חיוניים, הריהי הכרחית למניעת פגיעה במרקם החיים התקין. לא כן באשר ליתר המונחים המנויים בהגדרת 'התיישבות' שבחוק – מיתקנים, שטחים חקלאיים ואמצעי ייצור (אציין, כי לא לגמרי נתחוור לי למה הכוונה במונח 'מיתקנים', ומה בינו לבין מבני ציבור ושאר מיתקני תשתיות חיוניים. על כל פנים, בנסיבות העניין, אין הצדקה להותיר מונח עמום זה על כנו).</w:t>
      </w:r>
    </w:p>
    <w:p w14:paraId="36C366C0" w14:textId="77777777" w:rsidR="0062781A" w:rsidRPr="00643EF4" w:rsidRDefault="0062781A" w:rsidP="0062781A">
      <w:pPr>
        <w:pStyle w:val="Ruller41"/>
        <w:rPr>
          <w:rFonts w:ascii="Century" w:hAnsi="Century"/>
          <w:rtl/>
        </w:rPr>
      </w:pPr>
    </w:p>
    <w:p w14:paraId="0149A833" w14:textId="77777777" w:rsidR="0062781A" w:rsidRPr="00643EF4" w:rsidRDefault="0062781A" w:rsidP="0062781A">
      <w:pPr>
        <w:pStyle w:val="Ruller41"/>
        <w:rPr>
          <w:rFonts w:ascii="Century" w:hAnsi="Century"/>
          <w:rtl/>
        </w:rPr>
      </w:pPr>
      <w:r w:rsidRPr="00643EF4">
        <w:rPr>
          <w:rFonts w:ascii="Century" w:hAnsi="Century"/>
          <w:rtl/>
        </w:rPr>
        <w:t>37.</w:t>
      </w:r>
      <w:r w:rsidRPr="00643EF4">
        <w:rPr>
          <w:rFonts w:ascii="Century" w:hAnsi="Century"/>
          <w:rtl/>
        </w:rPr>
        <w:tab/>
        <w:t xml:space="preserve">שטחים חקלאיים, אמצעי ייצור ומתקנים שאינם משמשים לצרכיה החיוניים של ההתיישבות, שונים באופן מהותי מיתר סוגי המבנים המנויים בחוק. הפקעתם פוגעת בזכות החוקתית לקניין, אולם אין בהפקעה זו כדי להגשים את התכליות שאותן ביקש המחוקק להשיג. לא דומה פינויו של בית מגורים לפינויו של שטח חקלאי (ואינני מקל ראש בנזק הטמון גם בפינוי מעין זה), ולא דומה קיפאון קנייני ותכנוני של אמצעי ייצור, לקיפאון שכזה ביחס למבני ציבור, דרכי גישה או מתקני תשתיות חיוניים. לא בכדי הדגישו לפנינו הכנסת, הממשלה והמועצה האזורית מטה בנימין בכתבי טענותיהן, דווקא את החשיבות שבהסדרת מבני מגורים, מבני ציבור ושאר תשתיות חיוניות, להבדיל מחשיבות הסדרתם של שטחי חקלאות ואמצעי ייצור, טענה שלמיטב ידיעתי לא זכתה להתייחסות כלל. אף זאת ראוי לציין, כי באחת מהצעות החוק הפרטיות שהונחו על שולחן הכנסת לדיון מוקדם (טרם מיזוגן של ההצעות השונות), היתה הגדרת המונח 'התיישבות' צנועה יותר, ברוח האמור לעיל: </w:t>
      </w:r>
      <w:r w:rsidRPr="00643EF4">
        <w:rPr>
          <w:rFonts w:ascii="Century" w:hAnsi="Century" w:cs="Miriam"/>
          <w:b/>
          <w:spacing w:val="0"/>
          <w:szCs w:val="24"/>
          <w:rtl/>
        </w:rPr>
        <w:t xml:space="preserve">"'יישוב או התיישבות ישראלית' </w:t>
      </w:r>
      <w:r w:rsidRPr="00643EF4">
        <w:rPr>
          <w:rFonts w:ascii="Century" w:hAnsi="Century"/>
          <w:rtl/>
        </w:rPr>
        <w:t>–</w:t>
      </w:r>
      <w:r w:rsidRPr="00643EF4">
        <w:rPr>
          <w:rFonts w:ascii="Century" w:hAnsi="Century" w:cs="Miriam"/>
          <w:b/>
          <w:spacing w:val="0"/>
          <w:szCs w:val="24"/>
          <w:rtl/>
        </w:rPr>
        <w:t xml:space="preserve"> מקום המשמש למגורי בני אדם באזור, לרבות שכונה או הרחבה של יישוב, ולרבות כלל בתי המגורים שבו, כל המתקנים המשמשים לצורכי היישוב, לרבות דרכי גישה, תשתיות מים, תקשורת, חשמל וביוב, וכן מבני הציבור המשמשים את המתגוררים בו"</w:t>
      </w:r>
      <w:r w:rsidRPr="00643EF4">
        <w:rPr>
          <w:rtl/>
        </w:rPr>
        <w:t xml:space="preserve"> (הצעת חוק להסדרת התיישבות ביהודה והשומרון, התשע"ז-2016, פ/3433/20). הנה כי כן, לא שטחים חקלאיים ולא אמצעי ייצור.</w:t>
      </w:r>
    </w:p>
    <w:p w14:paraId="01C654D8" w14:textId="77777777" w:rsidR="0062781A" w:rsidRPr="00643EF4" w:rsidRDefault="0062781A" w:rsidP="0062781A">
      <w:pPr>
        <w:pStyle w:val="Ruller41"/>
        <w:rPr>
          <w:rFonts w:ascii="Century" w:hAnsi="Century"/>
          <w:rtl/>
        </w:rPr>
      </w:pPr>
    </w:p>
    <w:p w14:paraId="30B18B4F" w14:textId="77777777" w:rsidR="0062781A" w:rsidRPr="00643EF4" w:rsidRDefault="0062781A" w:rsidP="0062781A">
      <w:pPr>
        <w:pStyle w:val="Ruller41"/>
        <w:rPr>
          <w:rFonts w:ascii="Century" w:hAnsi="Century"/>
          <w:rtl/>
        </w:rPr>
      </w:pPr>
      <w:r w:rsidRPr="00643EF4">
        <w:rPr>
          <w:rFonts w:ascii="Century" w:hAnsi="Century"/>
          <w:rtl/>
        </w:rPr>
        <w:t>38.</w:t>
      </w:r>
      <w:r w:rsidRPr="00643EF4">
        <w:rPr>
          <w:rFonts w:ascii="Century" w:hAnsi="Century"/>
          <w:rtl/>
        </w:rPr>
        <w:tab/>
        <w:t xml:space="preserve">גם הגדרתה הרחבה של 'המדינה', חורגת מן ההצדקות שביסוד חקיקתו של חוק ההסדרה. עמדתי לעיל על מעורבותן של רשויות המדינה, שהיא אחד המאפיינים הייחודיים של הבנייה הבלתי חוקית ביהודה ושומרון. כפי שנקבע בדו"ח לוי, למעורבות זו </w:t>
      </w:r>
      <w:r w:rsidRPr="00643EF4">
        <w:rPr>
          <w:rFonts w:ascii="Century" w:hAnsi="Century" w:cs="Miriam"/>
          <w:b/>
          <w:spacing w:val="0"/>
          <w:szCs w:val="24"/>
          <w:rtl/>
        </w:rPr>
        <w:t>"נודעת נפקות במישור המשפטי, והכוונה לדרך בה היתה אמורה להיות מובנת על ידי המתיישבים ביהודה ושומרון. להשקפתנו, אלה היו רשאים להניח כי הרחבתו של מפעל ההתיישבות [...] הוא עניין בו הממשלה חפצה ואותו היא מעודדת, ולראייה פעולותיה של החטיבה להתיישבות שפעלה (מכוח הסכמי ההרשאה עם הממונה על הרכוש הממשלתי הנטוש), בסיועם של משרדי ממשלה שונים"</w:t>
      </w:r>
      <w:r w:rsidRPr="00643EF4">
        <w:rPr>
          <w:rFonts w:ascii="Century" w:hAnsi="Century"/>
          <w:rtl/>
        </w:rPr>
        <w:t xml:space="preserve"> (עמוד 49 לדו"ח; ההדגשות הוספו).</w:t>
      </w:r>
    </w:p>
    <w:p w14:paraId="263A1474" w14:textId="77777777" w:rsidR="0062781A" w:rsidRPr="00643EF4" w:rsidRDefault="0062781A" w:rsidP="0062781A">
      <w:pPr>
        <w:pStyle w:val="Ruller41"/>
        <w:rPr>
          <w:rFonts w:ascii="Century" w:hAnsi="Century"/>
          <w:rtl/>
        </w:rPr>
      </w:pPr>
    </w:p>
    <w:p w14:paraId="1D2F5A8E" w14:textId="77777777" w:rsidR="0062781A" w:rsidRPr="00643EF4" w:rsidRDefault="0062781A" w:rsidP="0062781A">
      <w:pPr>
        <w:pStyle w:val="Ruller41"/>
        <w:rPr>
          <w:rFonts w:ascii="Century" w:hAnsi="Century"/>
          <w:rtl/>
        </w:rPr>
      </w:pPr>
      <w:r w:rsidRPr="00643EF4">
        <w:rPr>
          <w:rFonts w:ascii="Century" w:hAnsi="Century"/>
          <w:rtl/>
        </w:rPr>
        <w:t>39.</w:t>
      </w:r>
      <w:r w:rsidRPr="00643EF4">
        <w:rPr>
          <w:rFonts w:ascii="Century" w:hAnsi="Century"/>
          <w:rtl/>
        </w:rPr>
        <w:tab/>
        <w:t xml:space="preserve">עינינו הרואות: בּדבּרוֹ על הסכמת 'המדינה', וההסתמכות שזו יצרה אצל המתיישבים הישראלים, מכוון דו"ח לוי להתנהלותה של </w:t>
      </w:r>
      <w:r w:rsidRPr="00643EF4">
        <w:rPr>
          <w:rFonts w:ascii="Century" w:hAnsi="Century" w:cs="Miriam"/>
          <w:b/>
          <w:spacing w:val="0"/>
          <w:szCs w:val="24"/>
          <w:rtl/>
        </w:rPr>
        <w:t>הממשלה</w:t>
      </w:r>
      <w:r w:rsidRPr="00643EF4">
        <w:rPr>
          <w:rFonts w:ascii="Century" w:hAnsi="Century"/>
          <w:rtl/>
        </w:rPr>
        <w:t xml:space="preserve">, ולפעולות שנקטה </w:t>
      </w:r>
      <w:r w:rsidRPr="00643EF4">
        <w:rPr>
          <w:rFonts w:ascii="Century" w:hAnsi="Century"/>
          <w:rtl/>
        </w:rPr>
        <w:lastRenderedPageBreak/>
        <w:t xml:space="preserve">בעצמה ובאמצעות שלוחיה – החטיבה להתיישבות של ההסתדרות הציונית העולמית, משרד השיכון, משרד הביטחון ואחרים (עמוד 57 לדו"ח לוי). מתיחת פניה של 'המדינה', כך שתכלול בתוכה גם רשויות מקומיות, אינה יכולה להישען אפוא על ההצדקה הנובעת מן ההסתמכות שנוצרה בעקבות מעורבות הממשלה ושלוחיה בבנייה. הסתמכות על פעולותיה של רשות מקומית או מועצה אזורית בהקשר שבו מדבר חוק ההסדרה, מקום שבו פעלה הרשות על דעת עצמה, מבלי לקבל תחילה את הסכמתו של השלטון המרכזי (ולהלן אתייחס לטיבה של ההסכמה הנדרשת בחוק), או חמור מכך – בניגוד לעמדתו של השלטון המרכזי, אינה הסתמכות שמצדיקה פגיעה בזכות הקניין. הסתמכות שכזו נוגדת את הגיונו של חוק ההסדרה, שנועד </w:t>
      </w:r>
      <w:r w:rsidRPr="00643EF4">
        <w:rPr>
          <w:rFonts w:ascii="Century" w:hAnsi="Century" w:cs="Miriam"/>
          <w:b/>
          <w:spacing w:val="0"/>
          <w:szCs w:val="24"/>
          <w:rtl/>
        </w:rPr>
        <w:t>"לבטא אחריות שלטונית של הממשלה למתן פתרון למקרים בהם אזרחים ישראלים בנו את מרכז חייהם בהסכמת המדינה במקומות בהם היה להם יסוד להניח, כי יוסדרו בידי המדינה עם חלוף הזמן"</w:t>
      </w:r>
      <w:r w:rsidRPr="00643EF4">
        <w:rPr>
          <w:rFonts w:ascii="Century" w:hAnsi="Century"/>
          <w:rtl/>
        </w:rPr>
        <w:t xml:space="preserve"> (סעיף 100 לתגובה המקדמית מטעם הממשלה; ההדגשה הוספה). אחריות הממשלה – שמכוחה עשויה לצמוח הצדקה לפגיעה בזכות הקניין – היא למעשיה-שלה, לא למעשיה של רשות מקומית שפעלה על דעת עצמה. אשר ל'מוסד מיישב', שנכלל גם הוא בהגדרת 'המדינה' כגוף העומד בפני עצמו, דומה לכאורה כי זוהי תוספת מיותרת. החטיבה להתיישבות של ההסתדרות הציונית העולמית, שהיא המוסד המיישב המרכזי בכל הקשור לבנייה שבה עוסק חוק ההסדרה, היא זרוע מבצעת של ממשלת ישראל. ככל שפעולותיה נעשו בסיועם של גורמים ממשלתיים או על דעתם (כפי שנקבע בדו"ח לוי; ראו, למשל, עמודים 85-84), אזי ממילא יש לראות בכך הסכמה של 'המדינה'. ככל שזה אינו המצב, אזי אין הצדקה להכיר בהסתמכות זו, באותה מידה שאין הצדקה להכיר בהסתמכות על פעולתה של רשות מקומית.</w:t>
      </w:r>
    </w:p>
    <w:p w14:paraId="3CB1C274" w14:textId="77777777" w:rsidR="0062781A" w:rsidRPr="00643EF4" w:rsidRDefault="0062781A" w:rsidP="0062781A">
      <w:pPr>
        <w:pStyle w:val="Ruller41"/>
        <w:rPr>
          <w:rFonts w:ascii="Century" w:hAnsi="Century"/>
          <w:rtl/>
        </w:rPr>
      </w:pPr>
    </w:p>
    <w:p w14:paraId="0A7DBB91" w14:textId="77777777" w:rsidR="0062781A" w:rsidRPr="00643EF4" w:rsidRDefault="0062781A" w:rsidP="0062781A">
      <w:pPr>
        <w:pStyle w:val="Ruller41"/>
        <w:rPr>
          <w:rFonts w:ascii="Century" w:hAnsi="Century"/>
          <w:rtl/>
        </w:rPr>
      </w:pPr>
      <w:r w:rsidRPr="00643EF4">
        <w:rPr>
          <w:rFonts w:ascii="Century" w:hAnsi="Century"/>
          <w:rtl/>
        </w:rPr>
        <w:t>40.</w:t>
      </w:r>
      <w:r w:rsidRPr="00643EF4">
        <w:rPr>
          <w:rFonts w:ascii="Century" w:hAnsi="Century"/>
          <w:rtl/>
        </w:rPr>
        <w:tab/>
        <w:t xml:space="preserve">עמדנו על הצמצום של הגדרת 'המדינה': ממשלת ישראל, משרד ממשרדי הממשלה, רשויות האזור – כן; רשות מקומית, מועצה אזורית, מוסד מיישב – לא. על רקע הדברים הללו נוכל לדון בהגדרה רחבה נוספת, 'הסכמת המדינה'. אמנם כן, 'הסכמה' לפי חוק ההסדרה מוגדרת באופן רחב ביותר: </w:t>
      </w:r>
      <w:r w:rsidRPr="00643EF4">
        <w:rPr>
          <w:rFonts w:ascii="Century" w:hAnsi="Century" w:cs="Miriam"/>
          <w:b/>
          <w:spacing w:val="0"/>
          <w:szCs w:val="24"/>
          <w:rtl/>
        </w:rPr>
        <w:t>"במפורש או במשתמע, מראש או לאחר מעשה, לרבות סיוע בהנחת תשתיות, הענקת תמריצים, תכנון תכניות, פרסום פרסומים שנועדו לעודד בנייה או פיתוח או השתתפות בכסף או בעין"</w:t>
      </w:r>
      <w:r w:rsidRPr="00643EF4">
        <w:rPr>
          <w:rFonts w:ascii="Century" w:hAnsi="Century"/>
          <w:rtl/>
        </w:rPr>
        <w:t xml:space="preserve">. אם מתעלמים מן הרקע לחקיקתו של חוק ההסדרה, אזי אין ספק כי הגדרה רחבה שכזו מעוררת קושי. אולם משצמצמנו את הגדרת המדינה אך ורק לגופים הנמנים על השלטון המרכזי, לממשלה ולשלוחיה, ומשזכרנו והזכרנו שוב ושוב את האמור בדו"ח ששון ודו"ח לוי, אזי מוּארים הדברים באור שונה. ההגדרה הרחבה יחסית של 'הסכמת המדינה', קשורה בקשר הדוק לאופן התנהלותה של הממשלה בעניין הבנייה ביהודה ושומרון, התנהלות הנובעת מן המורכבות הפוליטית בזירה הבינלאומית. מורכבות זו, היא שיצרה מציאות שבה תמיכה, הסכמה ועידוד של התיישבות ישראלית ביהודה ושומרון על-ידי ממשלת ישראל ושלוחיה נעשו שלא 'לפי הספר' – לעתים במפורש לעתים במשתמע, לעתים מלכתחילה לעתים בדיעבד, פעמים על דרך של הנחת תשתיות, פעמים על דרך של הענקת תמריצים, </w:t>
      </w:r>
      <w:r w:rsidRPr="00643EF4">
        <w:rPr>
          <w:rFonts w:ascii="Century" w:hAnsi="Century"/>
          <w:rtl/>
        </w:rPr>
        <w:lastRenderedPageBreak/>
        <w:t>וכיוצא באלו דרכים ואופנים. בניגוד להגדרות הקודמות שבהן דנתי, שצמצומן אינו גורע מן האפשרות להגשים את מטרותיו הראויות של החוק, צמצומה של הגדרה זו עלול לרוקן במידה לא מבוטלת את חוק ההסדרה מתוכנו. את ההגדרה של 'הסכמת המדינה' יש להותיר אפוא כמות שהיא</w:t>
      </w:r>
      <w:r w:rsidRPr="00643EF4">
        <w:rPr>
          <w:rFonts w:ascii="Century" w:hAnsi="Century" w:hint="cs"/>
          <w:rtl/>
        </w:rPr>
        <w:t>;</w:t>
      </w:r>
      <w:r w:rsidRPr="00643EF4">
        <w:rPr>
          <w:rFonts w:ascii="Century" w:hAnsi="Century"/>
          <w:rtl/>
        </w:rPr>
        <w:t xml:space="preserve"> דיינו בצמצום הגדרת 'המדינה', כמפורט לעיל. </w:t>
      </w:r>
    </w:p>
    <w:p w14:paraId="14915630" w14:textId="77777777" w:rsidR="0062781A" w:rsidRPr="00643EF4" w:rsidRDefault="0062781A" w:rsidP="0062781A">
      <w:pPr>
        <w:pStyle w:val="Ruller41"/>
        <w:rPr>
          <w:rFonts w:ascii="Century" w:hAnsi="Century"/>
          <w:rtl/>
        </w:rPr>
      </w:pPr>
    </w:p>
    <w:p w14:paraId="26A41EDE" w14:textId="77777777" w:rsidR="0062781A" w:rsidRPr="00643EF4" w:rsidRDefault="0062781A" w:rsidP="0062781A">
      <w:pPr>
        <w:pStyle w:val="Ruller41"/>
        <w:rPr>
          <w:rFonts w:ascii="Century" w:hAnsi="Century" w:cs="Miriam"/>
          <w:b/>
          <w:spacing w:val="0"/>
          <w:szCs w:val="24"/>
          <w:rtl/>
        </w:rPr>
      </w:pPr>
      <w:r w:rsidRPr="00643EF4">
        <w:rPr>
          <w:rFonts w:ascii="Century" w:hAnsi="Century"/>
          <w:rtl/>
        </w:rPr>
        <w:t>41.</w:t>
      </w:r>
      <w:r w:rsidRPr="00643EF4">
        <w:rPr>
          <w:rFonts w:ascii="Century" w:hAnsi="Century"/>
          <w:rtl/>
        </w:rPr>
        <w:tab/>
      </w:r>
      <w:r w:rsidRPr="00A26221">
        <w:rPr>
          <w:rFonts w:ascii="Century" w:hAnsi="Century"/>
          <w:u w:val="single"/>
          <w:rtl/>
        </w:rPr>
        <w:t>לסיכום חלק זה</w:t>
      </w:r>
      <w:r w:rsidRPr="00643EF4">
        <w:rPr>
          <w:rFonts w:ascii="Century" w:hAnsi="Century"/>
          <w:rtl/>
        </w:rPr>
        <w:t xml:space="preserve">: פגיעתו של חוק ההסדרה בזכות הקניין, ככל שהדברים אמורים בשטחים חקלאיים, אמצעי ייצור ושאר מתקנים שאינם חיוניים, הריהי מעבר לנדרש. הוא הדין באשר לפגיעה המבוססת על הסתמכות של המתיישבים על הסכמה שניתנה על-ידי רשות מקומית, מועצה אזורית או מוסד מיישב, ללא הסכמה של גורם ממשלתי. מחיקתם של חלקים אלו מן ההגדרות הרלבנטיות – 'התיישבות' ו'מדינה' – אינה פוגעת בכוחם של האמצעים האמורים בחוק להגשים את מטרותיו הראויות באותה מידה. מחיקה חלקית של מקצת מן ההגדרות ב'עפרון כחול', אינה שמה לאל את מטרתו של המחוקק, ליצור מנגנון הסדרה פשוט ומהיר, המותח </w:t>
      </w:r>
      <w:r w:rsidRPr="00643EF4">
        <w:rPr>
          <w:rFonts w:ascii="Century" w:hAnsi="Century" w:cs="Miriam"/>
          <w:b/>
          <w:spacing w:val="0"/>
          <w:szCs w:val="24"/>
          <w:rtl/>
        </w:rPr>
        <w:t>"קו ברור, ודאי והגיוני אשר כל מה שמעבר לו יוסדר ובכך תיפתר, כמעט לגמרי, הבעיה הלאומית שישראל ניצבת בפניה"</w:t>
      </w:r>
      <w:r w:rsidRPr="00643EF4">
        <w:rPr>
          <w:rFonts w:ascii="Century" w:hAnsi="Century"/>
          <w:rtl/>
        </w:rPr>
        <w:t xml:space="preserve"> (סעיף 132 לתגובה המקדמית מטעם הממשלה).</w:t>
      </w:r>
    </w:p>
    <w:p w14:paraId="014103AB" w14:textId="77777777" w:rsidR="0062781A" w:rsidRPr="00643EF4" w:rsidRDefault="0062781A" w:rsidP="0062781A">
      <w:pPr>
        <w:pStyle w:val="Ruller41"/>
        <w:rPr>
          <w:rFonts w:ascii="FrankRuehl" w:hAnsi="FrankRuehl"/>
          <w:b/>
          <w:spacing w:val="0"/>
          <w:sz w:val="26"/>
          <w:rtl/>
        </w:rPr>
      </w:pPr>
    </w:p>
    <w:p w14:paraId="36366281" w14:textId="77777777" w:rsidR="0062781A" w:rsidRPr="00643EF4" w:rsidRDefault="0062781A" w:rsidP="0062781A">
      <w:pPr>
        <w:pStyle w:val="Ruller41"/>
        <w:rPr>
          <w:rFonts w:ascii="FrankRuehl" w:hAnsi="FrankRuehl"/>
          <w:b/>
          <w:spacing w:val="0"/>
          <w:sz w:val="26"/>
          <w:rtl/>
        </w:rPr>
      </w:pPr>
      <w:r w:rsidRPr="00643EF4">
        <w:rPr>
          <w:rFonts w:ascii="FrankRuehl" w:hAnsi="FrankRuehl"/>
          <w:b/>
          <w:spacing w:val="0"/>
          <w:sz w:val="26"/>
          <w:rtl/>
        </w:rPr>
        <w:t>42.</w:t>
      </w:r>
      <w:r w:rsidRPr="00643EF4">
        <w:rPr>
          <w:rFonts w:ascii="FrankRuehl" w:hAnsi="FrankRuehl"/>
          <w:b/>
          <w:spacing w:val="0"/>
          <w:sz w:val="26"/>
          <w:rtl/>
        </w:rPr>
        <w:tab/>
      </w:r>
      <w:r w:rsidRPr="00643EF4">
        <w:rPr>
          <w:rFonts w:ascii="Century" w:hAnsi="Century"/>
          <w:rtl/>
        </w:rPr>
        <w:t>טרם נסתיימה מלאכתנו. האם צולח חוק ההסדרה – במתכונתו המצומצמת – את מבחן המשנה השלישי? לדיון זה אפנה עתה.</w:t>
      </w:r>
    </w:p>
    <w:p w14:paraId="5F6DCF38" w14:textId="77777777" w:rsidR="0062781A" w:rsidRPr="00643EF4" w:rsidRDefault="0062781A" w:rsidP="0062781A">
      <w:pPr>
        <w:pStyle w:val="Ruller41"/>
        <w:rPr>
          <w:rFonts w:ascii="Century" w:hAnsi="Century"/>
          <w:rtl/>
        </w:rPr>
      </w:pPr>
    </w:p>
    <w:p w14:paraId="12B39347" w14:textId="5F58A677" w:rsidR="0062781A" w:rsidRPr="00643EF4" w:rsidRDefault="0062781A" w:rsidP="0062781A">
      <w:pPr>
        <w:pStyle w:val="Ruller41"/>
        <w:spacing w:line="480" w:lineRule="auto"/>
        <w:rPr>
          <w:rFonts w:ascii="Miriam" w:hAnsi="Miriam" w:cs="Miriam"/>
          <w:rtl/>
        </w:rPr>
      </w:pPr>
      <w:r w:rsidRPr="00643EF4">
        <w:rPr>
          <w:rFonts w:ascii="Miriam" w:hAnsi="Miriam" w:cs="Miriam"/>
          <w:color w:val="000000"/>
          <w:spacing w:val="0"/>
          <w:sz w:val="24"/>
          <w:szCs w:val="24"/>
          <w:rtl/>
        </w:rPr>
        <w:t>מידתיות במובן הצר</w:t>
      </w:r>
      <w:r w:rsidRPr="00643EF4">
        <w:rPr>
          <w:rFonts w:ascii="Miriam" w:hAnsi="Miriam" w:cs="Miriam"/>
          <w:rtl/>
        </w:rPr>
        <w:t xml:space="preserve"> </w:t>
      </w:r>
    </w:p>
    <w:p w14:paraId="66F71BCA" w14:textId="77777777" w:rsidR="0043011E" w:rsidRPr="00643EF4" w:rsidRDefault="0043011E" w:rsidP="0062781A">
      <w:pPr>
        <w:pStyle w:val="Ruller41"/>
        <w:spacing w:line="480" w:lineRule="auto"/>
        <w:rPr>
          <w:rFonts w:ascii="Miriam" w:hAnsi="Miriam" w:cs="Miriam"/>
          <w:sz w:val="8"/>
          <w:szCs w:val="14"/>
          <w:rtl/>
        </w:rPr>
      </w:pPr>
    </w:p>
    <w:p w14:paraId="0E25CEE8" w14:textId="77777777" w:rsidR="0062781A" w:rsidRPr="00643EF4" w:rsidRDefault="0062781A" w:rsidP="0062781A">
      <w:pPr>
        <w:pStyle w:val="Ruller41"/>
        <w:rPr>
          <w:rFonts w:ascii="Century" w:hAnsi="Century"/>
          <w:rtl/>
        </w:rPr>
      </w:pPr>
      <w:r w:rsidRPr="00643EF4">
        <w:rPr>
          <w:rFonts w:ascii="Century" w:hAnsi="Century"/>
          <w:rtl/>
        </w:rPr>
        <w:t>43.</w:t>
      </w:r>
      <w:r w:rsidRPr="00643EF4">
        <w:rPr>
          <w:rFonts w:ascii="Century" w:hAnsi="Century"/>
          <w:rtl/>
        </w:rPr>
        <w:tab/>
        <w:t>במסגרת מבחן המשנה השלישי יש לערוך איזון בין התועלת הצומחת מהגשמת תכליתו של החוק, לבין הנזק העלול להיגרם בשל כך לזכות החוקתית (</w:t>
      </w:r>
      <w:r w:rsidRPr="00643EF4">
        <w:rPr>
          <w:rFonts w:ascii="Century" w:hAnsi="Century" w:cs="Miriam"/>
          <w:b/>
          <w:spacing w:val="0"/>
          <w:szCs w:val="24"/>
          <w:rtl/>
        </w:rPr>
        <w:t xml:space="preserve">ברק </w:t>
      </w:r>
      <w:r w:rsidRPr="00643EF4">
        <w:rPr>
          <w:rFonts w:ascii="Century" w:hAnsi="Century"/>
          <w:rtl/>
        </w:rPr>
        <w:t>–</w:t>
      </w:r>
      <w:r w:rsidRPr="00643EF4">
        <w:rPr>
          <w:rFonts w:ascii="Century" w:hAnsi="Century" w:cs="Miriam"/>
          <w:b/>
          <w:spacing w:val="0"/>
          <w:szCs w:val="24"/>
          <w:rtl/>
        </w:rPr>
        <w:t xml:space="preserve"> מידתיות</w:t>
      </w:r>
      <w:r w:rsidRPr="00643EF4">
        <w:rPr>
          <w:rFonts w:ascii="Century" w:hAnsi="Century"/>
          <w:rtl/>
        </w:rPr>
        <w:t xml:space="preserve">, בעמ' 419). </w:t>
      </w:r>
      <w:r w:rsidRPr="00643EF4">
        <w:rPr>
          <w:rFonts w:ascii="Century" w:hAnsi="Century" w:cs="Miriam"/>
          <w:b/>
          <w:spacing w:val="0"/>
          <w:szCs w:val="24"/>
          <w:rtl/>
        </w:rPr>
        <w:t>"ככל שהזכות הנפגעת חשובה יותר, וככל שהפגיעה בזכות קשה יותר, כך צריך אינטרס ציבורי חזק יותר כדי להצדיק את הפגיעה"</w:t>
      </w:r>
      <w:r w:rsidRPr="00643EF4">
        <w:rPr>
          <w:rFonts w:ascii="Century" w:hAnsi="Century"/>
          <w:rtl/>
        </w:rPr>
        <w:t xml:space="preserve"> (בג"ץ 6055/95 </w:t>
      </w:r>
      <w:r w:rsidRPr="00643EF4">
        <w:rPr>
          <w:rFonts w:ascii="Century" w:hAnsi="Century" w:cs="Miriam"/>
          <w:b/>
          <w:spacing w:val="0"/>
          <w:szCs w:val="24"/>
          <w:rtl/>
        </w:rPr>
        <w:t>צמח נ' שר הביטחון</w:t>
      </w:r>
      <w:r w:rsidRPr="00643EF4">
        <w:rPr>
          <w:rFonts w:ascii="Century" w:hAnsi="Century"/>
          <w:rtl/>
        </w:rPr>
        <w:t xml:space="preserve">, פ"ד נג(5) 241, 273 (1999)). ניתנה אמת להאמר, זהו מבחן קשה ליישום. בניגוד לשני מבחני המידתיות הראשונים, שהם בעיקרם מבחנים עובדתיים-אובייקטיביים, אשר ההיבט הערכי הגלום בהם קטן באופן יחסי, הרי שמבחן זה הוא בעל אופי ערכי מובהק. </w:t>
      </w:r>
      <w:r w:rsidRPr="00643EF4">
        <w:rPr>
          <w:rFonts w:ascii="Century" w:hAnsi="Century" w:cs="Miriam"/>
          <w:b/>
          <w:spacing w:val="0"/>
          <w:szCs w:val="24"/>
          <w:rtl/>
        </w:rPr>
        <w:t>"כה חזק הוא ההיבט הערכי של מבחן זה, עד כי השופט מ' חשין ציין כי 'ראוי הוא כי יכונה מבחן המידתיות 'במובנו הערכי'. עניינו של מבחן זה הוא בערכים, וכך ראוי כי נכנהו'"</w:t>
      </w:r>
      <w:r w:rsidRPr="00643EF4">
        <w:rPr>
          <w:rFonts w:ascii="Century" w:hAnsi="Century"/>
          <w:rtl/>
        </w:rPr>
        <w:t xml:space="preserve"> (</w:t>
      </w:r>
      <w:r w:rsidRPr="00643EF4">
        <w:rPr>
          <w:rFonts w:ascii="Century" w:hAnsi="Century" w:cs="Miriam"/>
          <w:b/>
          <w:spacing w:val="0"/>
          <w:szCs w:val="24"/>
          <w:rtl/>
        </w:rPr>
        <w:t>ברק</w:t>
      </w:r>
      <w:r w:rsidRPr="00643EF4">
        <w:rPr>
          <w:rFonts w:ascii="Century" w:hAnsi="Century"/>
          <w:rtl/>
        </w:rPr>
        <w:t xml:space="preserve"> – </w:t>
      </w:r>
      <w:r w:rsidRPr="00643EF4">
        <w:rPr>
          <w:rFonts w:ascii="Century" w:hAnsi="Century" w:cs="Miriam"/>
          <w:b/>
          <w:spacing w:val="0"/>
          <w:szCs w:val="24"/>
          <w:rtl/>
        </w:rPr>
        <w:t>מידתיות</w:t>
      </w:r>
      <w:r w:rsidRPr="00643EF4">
        <w:rPr>
          <w:rFonts w:ascii="Century" w:hAnsi="Century"/>
          <w:rtl/>
        </w:rPr>
        <w:t xml:space="preserve">, בעמ' 422). ביסודו של מבחן המידתיות במובן הצר, עומדת הדרישה לקיומו של 'יחס ראוי', בין תועלת החוק לבין נזקו (ראו, למשל, עניין </w:t>
      </w:r>
      <w:r w:rsidRPr="00643EF4">
        <w:rPr>
          <w:rFonts w:ascii="Century" w:hAnsi="Century" w:cs="Miriam"/>
          <w:b/>
          <w:spacing w:val="0"/>
          <w:szCs w:val="24"/>
          <w:rtl/>
        </w:rPr>
        <w:t>בנק המזרחי</w:t>
      </w:r>
      <w:r w:rsidRPr="00643EF4">
        <w:rPr>
          <w:rFonts w:ascii="Century" w:hAnsi="Century"/>
          <w:rtl/>
        </w:rPr>
        <w:t>, בעמ' 437); בפסקי דין אחרים דובר על 'יחס סביר', 'יחס שקול' ו-'יחס נאות' (</w:t>
      </w:r>
      <w:r w:rsidRPr="00643EF4">
        <w:rPr>
          <w:rFonts w:ascii="Century" w:hAnsi="Century" w:cs="Miriam"/>
          <w:b/>
          <w:spacing w:val="0"/>
          <w:szCs w:val="24"/>
          <w:rtl/>
        </w:rPr>
        <w:t xml:space="preserve">ברק </w:t>
      </w:r>
      <w:r w:rsidRPr="00643EF4">
        <w:rPr>
          <w:rFonts w:ascii="Century" w:hAnsi="Century"/>
          <w:rtl/>
        </w:rPr>
        <w:t>–</w:t>
      </w:r>
      <w:r w:rsidRPr="00643EF4">
        <w:rPr>
          <w:rFonts w:ascii="Century" w:hAnsi="Century" w:cs="Miriam"/>
          <w:b/>
          <w:spacing w:val="0"/>
          <w:szCs w:val="24"/>
          <w:rtl/>
        </w:rPr>
        <w:t xml:space="preserve"> מידתיות</w:t>
      </w:r>
      <w:r w:rsidRPr="00643EF4">
        <w:rPr>
          <w:rFonts w:ascii="Century" w:hAnsi="Century"/>
          <w:rtl/>
        </w:rPr>
        <w:t>, בעמ' 423). האם מקיים חוק ההסדרה – במתכונתו המצומצמת כמפורט לעיל – יחס ראוי, סביר, שקול, נאות, בין התועלת הצומחת מהגשמת תכליתו לבין הנזק הנגרם מפגיעתו?</w:t>
      </w:r>
    </w:p>
    <w:p w14:paraId="5B7F5207" w14:textId="77777777" w:rsidR="0062781A" w:rsidRPr="00643EF4" w:rsidRDefault="0062781A" w:rsidP="0062781A">
      <w:pPr>
        <w:pStyle w:val="Ruller41"/>
        <w:rPr>
          <w:rFonts w:ascii="Century" w:hAnsi="Century"/>
          <w:rtl/>
        </w:rPr>
      </w:pPr>
    </w:p>
    <w:p w14:paraId="3E7AB5C7" w14:textId="77777777" w:rsidR="0062781A" w:rsidRPr="00643EF4" w:rsidRDefault="0062781A" w:rsidP="0062781A">
      <w:pPr>
        <w:pStyle w:val="Ruller41"/>
        <w:rPr>
          <w:rFonts w:ascii="Century" w:hAnsi="Century"/>
          <w:rtl/>
        </w:rPr>
      </w:pPr>
      <w:r w:rsidRPr="00643EF4">
        <w:rPr>
          <w:rFonts w:ascii="Century" w:hAnsi="Century"/>
          <w:rtl/>
        </w:rPr>
        <w:lastRenderedPageBreak/>
        <w:t>44.</w:t>
      </w:r>
      <w:r w:rsidRPr="00643EF4">
        <w:rPr>
          <w:rFonts w:ascii="Century" w:hAnsi="Century"/>
          <w:rtl/>
        </w:rPr>
        <w:tab/>
        <w:t xml:space="preserve">היועץ המשפטי לממשלה טען לפנינו, כי חוק ההסדרה אינו צולח את מבחן המידתיות במובן הצר. </w:t>
      </w:r>
      <w:r w:rsidRPr="00643EF4">
        <w:rPr>
          <w:rFonts w:ascii="Century" w:hAnsi="Century" w:cs="Miriam"/>
          <w:b/>
          <w:spacing w:val="0"/>
          <w:szCs w:val="24"/>
          <w:rtl/>
        </w:rPr>
        <w:t xml:space="preserve">"מסקנה זו נשענת בעיקרה על </w:t>
      </w:r>
      <w:r w:rsidRPr="00643EF4">
        <w:rPr>
          <w:rFonts w:ascii="Century" w:hAnsi="Century" w:cs="Miriam"/>
          <w:b/>
          <w:spacing w:val="0"/>
          <w:szCs w:val="24"/>
          <w:u w:val="single"/>
          <w:rtl/>
        </w:rPr>
        <w:t>אופיו הגורף של ההסדר</w:t>
      </w:r>
      <w:r w:rsidRPr="00643EF4">
        <w:rPr>
          <w:rFonts w:ascii="Century" w:hAnsi="Century" w:cs="Miriam"/>
          <w:b/>
          <w:spacing w:val="0"/>
          <w:szCs w:val="24"/>
          <w:rtl/>
        </w:rPr>
        <w:t xml:space="preserve">, אשר משקף איזון בלתי ראוי בין זכות הקניין של הפרט לבין יתר הזכויות והאינטרסים הצריכים לעניין. למעשה, </w:t>
      </w:r>
      <w:r w:rsidRPr="00643EF4">
        <w:rPr>
          <w:rFonts w:ascii="Century" w:hAnsi="Century" w:cs="Miriam"/>
          <w:b/>
          <w:spacing w:val="0"/>
          <w:szCs w:val="24"/>
          <w:u w:val="single"/>
          <w:rtl/>
        </w:rPr>
        <w:t>אין מדובר בעריכת איזון כלשהו, כי אם העדפה גורפת וחד-צדדית של בנייה ישראלית על קרקע פלסטינית פרטית, תהיינה הנסיבות אשר תהיינה</w:t>
      </w:r>
      <w:r w:rsidRPr="00643EF4">
        <w:rPr>
          <w:rFonts w:ascii="Century" w:hAnsi="Century" w:cs="Miriam"/>
          <w:b/>
          <w:spacing w:val="0"/>
          <w:szCs w:val="24"/>
          <w:rtl/>
        </w:rPr>
        <w:t>"</w:t>
      </w:r>
      <w:r w:rsidRPr="00643EF4">
        <w:rPr>
          <w:rFonts w:ascii="Century" w:hAnsi="Century"/>
          <w:rtl/>
        </w:rPr>
        <w:t xml:space="preserve"> (סעיף 163 לתגובה המקדמית מטעם היועץ המשפטי לממשלה; ההדגשות במקור). צודקת חברתי, צודק גם היועץ המשפטי לממשלה, כי תחולתו של חוק ההסדרה רחבה (גם במתכונתה המצומצמת). אף על-פי כן, אין לומר כי תחולה זו אינה משקפת איזון.</w:t>
      </w:r>
    </w:p>
    <w:p w14:paraId="049C67F7" w14:textId="77777777" w:rsidR="0062781A" w:rsidRPr="00643EF4" w:rsidRDefault="0062781A" w:rsidP="0062781A">
      <w:pPr>
        <w:pStyle w:val="Ruller41"/>
        <w:rPr>
          <w:rFonts w:ascii="Century" w:hAnsi="Century"/>
          <w:rtl/>
        </w:rPr>
      </w:pPr>
    </w:p>
    <w:p w14:paraId="7F4D2BF1" w14:textId="77777777" w:rsidR="0062781A" w:rsidRPr="00643EF4" w:rsidRDefault="0062781A" w:rsidP="0062781A">
      <w:pPr>
        <w:pStyle w:val="Ruller41"/>
        <w:rPr>
          <w:rFonts w:ascii="Century" w:hAnsi="Century"/>
          <w:rtl/>
        </w:rPr>
      </w:pPr>
      <w:r w:rsidRPr="00643EF4">
        <w:rPr>
          <w:rFonts w:ascii="Century" w:hAnsi="Century"/>
          <w:rtl/>
        </w:rPr>
        <w:t>45.</w:t>
      </w:r>
      <w:r w:rsidRPr="00643EF4">
        <w:rPr>
          <w:rFonts w:ascii="Century" w:hAnsi="Century"/>
          <w:rtl/>
        </w:rPr>
        <w:tab/>
        <w:t xml:space="preserve">אשר לנזק הנגרם בשל הפגיעה בזכות החוקתית. פגיעתו של חוק ההסדרה בזכות הקניין מובהקת, אך במצבים רבים מאד שבהם מדבר החוק, פגיעה זו אינה חמורה במיוחד, אם בכלל: </w:t>
      </w:r>
      <w:r w:rsidRPr="00643EF4">
        <w:rPr>
          <w:rFonts w:ascii="Century" w:hAnsi="Century" w:cs="Miriam"/>
          <w:b/>
          <w:spacing w:val="0"/>
          <w:szCs w:val="24"/>
          <w:rtl/>
        </w:rPr>
        <w:t>ראשית</w:t>
      </w:r>
      <w:r w:rsidRPr="00643EF4">
        <w:rPr>
          <w:rFonts w:ascii="Century" w:hAnsi="Century"/>
          <w:rtl/>
        </w:rPr>
        <w:t xml:space="preserve">, רוב רובם של המבנים עליהם צפוי החוק לחול, עומדים על מכונם מזה זמן רב. בחלק גדול מן המקרים לא ידוע כלל מי הם בעלי הקרקע, בחלק גדול לא פחות 'ישנים' בעלי הקרקע על זכויותיהם שנים ארוכות; </w:t>
      </w:r>
      <w:r w:rsidRPr="00643EF4">
        <w:rPr>
          <w:rFonts w:ascii="Century" w:hAnsi="Century" w:cs="Miriam"/>
          <w:b/>
          <w:spacing w:val="0"/>
          <w:szCs w:val="24"/>
          <w:rtl/>
        </w:rPr>
        <w:t>שנית</w:t>
      </w:r>
      <w:r w:rsidRPr="00643EF4">
        <w:rPr>
          <w:rFonts w:ascii="Century" w:hAnsi="Century"/>
          <w:rtl/>
        </w:rPr>
        <w:t xml:space="preserve">, חלק מן הקרקעות מוגדרות פרטיות בשל מדיניות מחמירה של רשויות האזור, הגם שאין לכך בסיס משפטי (כמפורט בסעיף 43 לתגובה המקדמית מטעם הממשלה); </w:t>
      </w:r>
      <w:r w:rsidRPr="00643EF4">
        <w:rPr>
          <w:rFonts w:ascii="Century" w:hAnsi="Century" w:cs="Miriam"/>
          <w:b/>
          <w:spacing w:val="0"/>
          <w:szCs w:val="24"/>
          <w:rtl/>
        </w:rPr>
        <w:t>שלישית</w:t>
      </w:r>
      <w:r w:rsidRPr="00643EF4">
        <w:rPr>
          <w:rFonts w:ascii="Century" w:hAnsi="Century"/>
          <w:rtl/>
        </w:rPr>
        <w:t xml:space="preserve">, לעתים גם כאשר ידוע מי הם בעלי הקרקע, והם עומדים על זכויותיהם בה, אין הדבר משנה בשל העובדה שלא ניתן לעשות בה שימוש לאחר פינוייה (הן מחמת שיקולי ביטחון, הן מחמת העובדה שמדובר בשטח 'כלוא'); </w:t>
      </w:r>
      <w:r w:rsidRPr="00643EF4">
        <w:rPr>
          <w:rFonts w:ascii="Century" w:hAnsi="Century" w:cs="Miriam"/>
          <w:b/>
          <w:spacing w:val="0"/>
          <w:szCs w:val="24"/>
          <w:rtl/>
        </w:rPr>
        <w:t>לבסוף</w:t>
      </w:r>
      <w:r w:rsidRPr="00643EF4">
        <w:rPr>
          <w:rFonts w:ascii="Century" w:hAnsi="Century"/>
          <w:rtl/>
        </w:rPr>
        <w:t>, נזכור ונזכיר את 'כשל השוק' שעליו עמדנו לעיל – חלק לא מבוטל מבין בעלי הקרקעות היו שמחים ודאי למכור את אדמתם תמורת פיצוי כספי מוגדל, ולחלופין לקבל תחתיה קרקע חלופית לבקשתם, אך אינם עושים כן מפחד הרשות הפלסטינית עליהם. בעניינם של אלו, כלל אין פגיעה בזכות הקניין; אדרבה.</w:t>
      </w:r>
    </w:p>
    <w:p w14:paraId="4E9BCC1D" w14:textId="77777777" w:rsidR="0062781A" w:rsidRPr="00643EF4" w:rsidRDefault="0062781A" w:rsidP="0062781A">
      <w:pPr>
        <w:pStyle w:val="Ruller41"/>
        <w:rPr>
          <w:rFonts w:ascii="Century" w:hAnsi="Century"/>
          <w:rtl/>
        </w:rPr>
      </w:pPr>
    </w:p>
    <w:p w14:paraId="49F24F46" w14:textId="77777777" w:rsidR="0062781A" w:rsidRPr="00643EF4" w:rsidRDefault="0062781A" w:rsidP="0062781A">
      <w:pPr>
        <w:pStyle w:val="Ruller41"/>
        <w:rPr>
          <w:rFonts w:ascii="Century" w:hAnsi="Century"/>
          <w:rtl/>
        </w:rPr>
      </w:pPr>
      <w:r w:rsidRPr="00643EF4">
        <w:rPr>
          <w:rFonts w:ascii="Century" w:hAnsi="Century"/>
          <w:rtl/>
        </w:rPr>
        <w:t>46.</w:t>
      </w:r>
      <w:r w:rsidRPr="00643EF4">
        <w:rPr>
          <w:rFonts w:ascii="Century" w:hAnsi="Century"/>
          <w:rtl/>
        </w:rPr>
        <w:tab/>
        <w:t xml:space="preserve">זאת ועוד. ההפקעה מכוחו של חוק ההסדרה </w:t>
      </w:r>
      <w:r w:rsidRPr="00643EF4">
        <w:rPr>
          <w:rFonts w:ascii="Century" w:hAnsi="Century" w:hint="cs"/>
          <w:rtl/>
        </w:rPr>
        <w:t>רחבה מאד בהיקפה</w:t>
      </w:r>
      <w:r w:rsidRPr="00643EF4">
        <w:rPr>
          <w:rFonts w:ascii="Century" w:hAnsi="Century"/>
          <w:rtl/>
        </w:rPr>
        <w:t xml:space="preserve">, </w:t>
      </w:r>
      <w:r w:rsidRPr="00643EF4">
        <w:rPr>
          <w:rFonts w:ascii="Century" w:hAnsi="Century" w:hint="cs"/>
          <w:rtl/>
        </w:rPr>
        <w:t xml:space="preserve">אך בצדה </w:t>
      </w:r>
      <w:r w:rsidRPr="00643EF4">
        <w:rPr>
          <w:rFonts w:ascii="Century" w:hAnsi="Century"/>
          <w:rtl/>
        </w:rPr>
        <w:t xml:space="preserve">אמצעים שונים </w:t>
      </w:r>
      <w:r w:rsidRPr="00643EF4">
        <w:rPr>
          <w:rFonts w:ascii="Century" w:hAnsi="Century" w:hint="cs"/>
          <w:rtl/>
        </w:rPr>
        <w:t xml:space="preserve">ומגוונים שמטרתם </w:t>
      </w:r>
      <w:r w:rsidRPr="00643EF4">
        <w:rPr>
          <w:rFonts w:ascii="Century" w:hAnsi="Century"/>
          <w:rtl/>
        </w:rPr>
        <w:t xml:space="preserve">לרכך ולאזן את </w:t>
      </w:r>
      <w:r w:rsidRPr="00643EF4">
        <w:rPr>
          <w:rFonts w:ascii="Century" w:hAnsi="Century" w:hint="cs"/>
          <w:rtl/>
        </w:rPr>
        <w:t>הפגיעה בבעלי הקרקעות</w:t>
      </w:r>
      <w:r w:rsidRPr="00643EF4">
        <w:rPr>
          <w:rFonts w:ascii="Century" w:hAnsi="Century"/>
          <w:rtl/>
        </w:rPr>
        <w:t xml:space="preserve">: רכישת זכויות השימוש וההחזקה בלבד, ולא רכישת הבעלות; הגבלת תוקפה של נטילת הזכויות </w:t>
      </w:r>
      <w:r w:rsidRPr="00643EF4">
        <w:rPr>
          <w:rFonts w:ascii="Century" w:hAnsi="Century" w:cs="Miriam"/>
          <w:b/>
          <w:spacing w:val="0"/>
          <w:szCs w:val="24"/>
          <w:rtl/>
        </w:rPr>
        <w:t>"עד להכרעה מדינית בדבר מעמדו של האזור וההתיישבות בו"</w:t>
      </w:r>
      <w:r w:rsidRPr="00643EF4">
        <w:rPr>
          <w:rFonts w:ascii="Century" w:hAnsi="Century"/>
          <w:rtl/>
        </w:rPr>
        <w:t xml:space="preserve"> (כאמור בסעיף 3(2) לחוק); בחינת הסכום שהושקע בבניית ההתיישבות, לעומת שווים של המקרקעין (כך שיתכן, למשל, כי במקרים שונים של בנייה קלה החוק לא יחול); פיצוי חריג בנדיבותו שאינו קיים בהסדרים אחרים, אם בדרך של הקצאת קרקע חלופית, אם בדרך של פיצוי כספי מוגדל; הגבלת תחולתו של החוק להסדרת העבר בלבד, ולא להכשרת בנייה בלתי-חוקית בעתיד – כל אלו אמצעים יחודיים שמטרתם להפחית עד כמה שניתן בנסיבות העניין את פגיעתו של החוק בזכות הקניין. לכך יש להוסיף את אופן ניהולו של הליך ההפקעה, שיתבצע תוך הקפדה על זכויותיהם הדיוניות של בעלי הקרקע:</w:t>
      </w:r>
      <w:r w:rsidRPr="00643EF4">
        <w:rPr>
          <w:rFonts w:ascii="Century" w:hAnsi="Century" w:cs="Miriam"/>
          <w:b/>
          <w:spacing w:val="0"/>
          <w:szCs w:val="24"/>
          <w:rtl/>
        </w:rPr>
        <w:t xml:space="preserve"> "סעיף 3 לחוק קובע כי הליך רכישת הזכויות יתבצע ככל האפשר על פי הוראות החוק הירדני. החוק האמור, יחד עם כללי המשפט המנהלי הישראלי, מבטיחים כי ההליך יתבצע באופן מידתי ותקין (פרסום, זכות השגה וכיו"ב). ממילא, תינתן לבעל הקרקע הזכות לבחון ולבקר ואף לתקוף בערכאות </w:t>
      </w:r>
      <w:r w:rsidRPr="00643EF4">
        <w:rPr>
          <w:rFonts w:ascii="Century" w:hAnsi="Century" w:cs="Miriam"/>
          <w:b/>
          <w:spacing w:val="0"/>
          <w:szCs w:val="24"/>
          <w:rtl/>
        </w:rPr>
        <w:lastRenderedPageBreak/>
        <w:t>– ומטבע הדברים אף בפני בית המשפט הנכבד – את ההחלטות המנהליות הכרוכות ביישום כל אחד משלבי החוק, לרבות התקיימות התנאים הקבועים בחוק לרכישה כפויה של הזכויות"</w:t>
      </w:r>
      <w:r w:rsidRPr="00643EF4">
        <w:rPr>
          <w:rFonts w:ascii="Century" w:hAnsi="Century"/>
          <w:rtl/>
        </w:rPr>
        <w:t xml:space="preserve"> (סעיף 115 לתגובה המקדמית מטעם הממשלה). </w:t>
      </w:r>
    </w:p>
    <w:p w14:paraId="6FD808FE" w14:textId="77777777" w:rsidR="0062781A" w:rsidRPr="00643EF4" w:rsidRDefault="0062781A" w:rsidP="0062781A">
      <w:pPr>
        <w:pStyle w:val="Ruller41"/>
        <w:rPr>
          <w:rFonts w:ascii="Century" w:hAnsi="Century"/>
          <w:rtl/>
        </w:rPr>
      </w:pPr>
    </w:p>
    <w:p w14:paraId="4DDDECF0" w14:textId="77777777" w:rsidR="0062781A" w:rsidRPr="00643EF4" w:rsidRDefault="0062781A" w:rsidP="0062781A">
      <w:pPr>
        <w:pStyle w:val="Ruller41"/>
        <w:rPr>
          <w:rFonts w:ascii="Century" w:hAnsi="Century"/>
          <w:rtl/>
        </w:rPr>
      </w:pPr>
      <w:r w:rsidRPr="00643EF4">
        <w:rPr>
          <w:rFonts w:ascii="Century" w:hAnsi="Century"/>
          <w:rtl/>
        </w:rPr>
        <w:t>47.</w:t>
      </w:r>
      <w:r w:rsidRPr="00643EF4">
        <w:rPr>
          <w:rFonts w:ascii="Century" w:hAnsi="Century"/>
          <w:rtl/>
        </w:rPr>
        <w:tab/>
        <w:t xml:space="preserve">אל מול הפגיעה בזכות הקניין, ניצבות התועלות הצומחות מהגשמת תכליותיו של החוק, ואותן ביקשו הכנסת והממשלה להשיג – תועלת מדינית ותועלת אנושית. ההתנגשות שבין תועלותיו של החוק, לבין הנזק הנגרם מפגיעתו בזכות הקניין, הציבה את המחוקק לפני דילמה קשה – </w:t>
      </w:r>
      <w:r w:rsidRPr="00643EF4">
        <w:rPr>
          <w:rFonts w:ascii="Century" w:hAnsi="Century" w:cs="Miriam"/>
          <w:b/>
          <w:spacing w:val="0"/>
          <w:szCs w:val="24"/>
          <w:rtl/>
        </w:rPr>
        <w:t>"הסדרה במחיר פגיעה בזכות קניין או הגנה מוחלטת על זכות הקניין במחיר פגיעה בחייהן של מאות ואלפי משפחות, על ההשלכות החברתיות, הלאומיות והמדיניות הכרוכות בכך"</w:t>
      </w:r>
      <w:r w:rsidRPr="00643EF4">
        <w:rPr>
          <w:rFonts w:ascii="Century" w:hAnsi="Century"/>
          <w:rtl/>
        </w:rPr>
        <w:t xml:space="preserve"> (סעיף 121 לתגובה המקדמית מטעם הממשלה). חוק ההסדרה מבטא הכרעה בדילמה הקשה הזו – שבין </w:t>
      </w:r>
      <w:r w:rsidRPr="00643EF4">
        <w:rPr>
          <w:rFonts w:ascii="Century" w:hAnsi="Century" w:cs="Miriam"/>
          <w:b/>
          <w:spacing w:val="0"/>
          <w:szCs w:val="24"/>
          <w:rtl/>
        </w:rPr>
        <w:t>הקפאה</w:t>
      </w:r>
      <w:r w:rsidRPr="00643EF4">
        <w:rPr>
          <w:rFonts w:ascii="Century" w:hAnsi="Century"/>
          <w:rtl/>
        </w:rPr>
        <w:t xml:space="preserve"> לבין </w:t>
      </w:r>
      <w:r w:rsidRPr="00643EF4">
        <w:rPr>
          <w:rFonts w:ascii="Century" w:hAnsi="Century" w:cs="Miriam"/>
          <w:b/>
          <w:spacing w:val="0"/>
          <w:szCs w:val="24"/>
          <w:rtl/>
        </w:rPr>
        <w:t>הפקעה</w:t>
      </w:r>
      <w:r w:rsidRPr="00643EF4">
        <w:rPr>
          <w:rFonts w:ascii="Century" w:hAnsi="Century"/>
          <w:rtl/>
        </w:rPr>
        <w:t xml:space="preserve">, בין </w:t>
      </w:r>
      <w:r w:rsidRPr="00643EF4">
        <w:rPr>
          <w:rFonts w:ascii="Century" w:hAnsi="Century" w:cs="Miriam"/>
          <w:b/>
          <w:spacing w:val="0"/>
          <w:szCs w:val="24"/>
          <w:rtl/>
        </w:rPr>
        <w:t>פינוי</w:t>
      </w:r>
      <w:r w:rsidRPr="00643EF4">
        <w:rPr>
          <w:rFonts w:ascii="Century" w:hAnsi="Century"/>
          <w:rtl/>
        </w:rPr>
        <w:t xml:space="preserve"> לבין </w:t>
      </w:r>
      <w:r w:rsidRPr="00643EF4">
        <w:rPr>
          <w:rFonts w:ascii="Century" w:hAnsi="Century" w:cs="Miriam"/>
          <w:b/>
          <w:spacing w:val="0"/>
          <w:szCs w:val="24"/>
          <w:rtl/>
        </w:rPr>
        <w:t>פיצוי</w:t>
      </w:r>
      <w:r w:rsidRPr="00643EF4">
        <w:rPr>
          <w:rFonts w:ascii="Century" w:hAnsi="Century"/>
          <w:rtl/>
        </w:rPr>
        <w:t xml:space="preserve">. זוהי הכרעה חדה, אולם אין לומר כי היא משקפת העדפה 'גורפת וחד-צדדית'. חוק ההסדרה מכיר בפגיעתו בזכות הקניין (בין שהיא חמורה יותר או פחות), ולפיכך נוקט אמצעים שונים שמטרתם לרכך פגיעה זו עד כמה שניתן; חוק ההסדרה – במתכונתו המצומצמת, כהצעתי, כמפורט לעיל – מבקש לפגוע בזכות הקניין אך ורק לשם הגשמת האינטרסים החיוניים ביותר לחייהם של התושבים הישראלים באזור (מבני מגורים, מבני ציבור, דרכי גישה ותשתיות חיוניות); חוק ההסדרה מבטא איזון ראוי, בין התועלת הצומחת מהגשמת תכליותיו, לבין הנזק הנגרם כתוצאה מפגיעתו בזכות הקניין. </w:t>
      </w:r>
    </w:p>
    <w:p w14:paraId="55D785FB" w14:textId="77777777" w:rsidR="0062781A" w:rsidRPr="00643EF4" w:rsidRDefault="0062781A" w:rsidP="0062781A">
      <w:pPr>
        <w:pStyle w:val="Ruller41"/>
        <w:rPr>
          <w:rFonts w:ascii="Century" w:hAnsi="Century"/>
          <w:rtl/>
        </w:rPr>
      </w:pPr>
    </w:p>
    <w:p w14:paraId="483BE35F" w14:textId="77777777" w:rsidR="0062781A" w:rsidRPr="00643EF4" w:rsidRDefault="0062781A" w:rsidP="0062781A">
      <w:pPr>
        <w:pStyle w:val="Ruller41"/>
        <w:rPr>
          <w:rFonts w:ascii="Century" w:hAnsi="Century"/>
          <w:rtl/>
        </w:rPr>
      </w:pPr>
      <w:r w:rsidRPr="00643EF4">
        <w:rPr>
          <w:rFonts w:ascii="Century" w:hAnsi="Century"/>
          <w:rtl/>
        </w:rPr>
        <w:t>48.</w:t>
      </w:r>
      <w:r w:rsidRPr="00643EF4">
        <w:rPr>
          <w:rFonts w:ascii="Century" w:hAnsi="Century"/>
          <w:rtl/>
        </w:rPr>
        <w:tab/>
        <w:t xml:space="preserve">ראיה נוספת לחוסר מידתיותו של חוק ההסדרה במובן הצר, מוצא היועץ המשפטי לממשלה בסטייתו של החוק מתנאיהם של ההסדרים המקובלים, שעניינם נטילה והעברה של זכויות במקרקעין. </w:t>
      </w:r>
      <w:r w:rsidRPr="00643EF4">
        <w:rPr>
          <w:rFonts w:ascii="Century" w:hAnsi="Century" w:cs="Miriam"/>
          <w:b/>
          <w:spacing w:val="0"/>
          <w:szCs w:val="24"/>
          <w:rtl/>
        </w:rPr>
        <w:t>"מתוך הנחה שהסדרים ותיקים אלה משקפים איזון עדין בין הזכויות והאינטרסים הצריכים לעניין, מתחזקת המסקנה בדבר חוסר המידתיות של חוק ההסדרה [...] הוויתור על דרישת תום הלב כתנאי בלעדיו אין, והפיכתה לחלופה בלבד, סוטה מן ההסדרים המקובלים בדיני האיזור וישראל ביחס לתקנת השוק, וביחס לדיני הבנייה על מקרקעי הזולת"</w:t>
      </w:r>
      <w:r w:rsidRPr="00643EF4">
        <w:rPr>
          <w:rFonts w:ascii="Century" w:hAnsi="Century"/>
          <w:rtl/>
        </w:rPr>
        <w:t xml:space="preserve"> (סעיפים 168-167 לתגובה המקדמית מטעם היועץ המשפטי לממשלה). </w:t>
      </w:r>
    </w:p>
    <w:p w14:paraId="3C8E90A6" w14:textId="77777777" w:rsidR="0062781A" w:rsidRPr="00643EF4" w:rsidRDefault="0062781A" w:rsidP="0062781A">
      <w:pPr>
        <w:pStyle w:val="Ruller41"/>
        <w:rPr>
          <w:rFonts w:ascii="Century" w:hAnsi="Century"/>
          <w:rtl/>
        </w:rPr>
      </w:pPr>
    </w:p>
    <w:p w14:paraId="445001AD" w14:textId="77777777" w:rsidR="0062781A" w:rsidRPr="00643EF4" w:rsidRDefault="0062781A" w:rsidP="0062781A">
      <w:pPr>
        <w:pStyle w:val="Ruller41"/>
        <w:rPr>
          <w:rFonts w:ascii="Century" w:hAnsi="Century"/>
          <w:rtl/>
        </w:rPr>
      </w:pPr>
      <w:r w:rsidRPr="00643EF4">
        <w:rPr>
          <w:rFonts w:ascii="Century" w:hAnsi="Century"/>
          <w:rtl/>
        </w:rPr>
        <w:t>49.</w:t>
      </w:r>
      <w:r w:rsidRPr="00643EF4">
        <w:rPr>
          <w:rFonts w:ascii="Century" w:hAnsi="Century"/>
          <w:rtl/>
        </w:rPr>
        <w:tab/>
        <w:t xml:space="preserve">אמת נכון הדבר, בכל ההסדרים השונים שבדין – סעיף 906 למג'לה, סעיף 5 לצו בדבר רכוש ממשלתי וסעיפים 10 ו-23 לחוק המקרקעין – דרישה לתום לב מצד מי שבנה ונטע במקרקעי זולתו, היא תנאי בלעדיו איִן לשם רכישת הזכויות בקרקע. דרישה זו, הגיונה בצִדה – למען לא יצא חוטא נשכר, וכדי שלא </w:t>
      </w:r>
      <w:r w:rsidRPr="00643EF4">
        <w:rPr>
          <w:rFonts w:ascii="Century" w:hAnsi="Century" w:cs="Miriam"/>
          <w:b/>
          <w:spacing w:val="0"/>
          <w:szCs w:val="24"/>
          <w:rtl/>
        </w:rPr>
        <w:t>"לתמרץ בריונות והסגת גבול מכוונת"</w:t>
      </w:r>
      <w:r w:rsidRPr="00643EF4">
        <w:rPr>
          <w:rFonts w:ascii="Century" w:hAnsi="Century"/>
          <w:rtl/>
        </w:rPr>
        <w:t xml:space="preserve"> (סעיף 168 לתגובה המקדמית מטעם היועץ המשפטי לממשלה). ברגיל, הסדרים אלו משקפים את האיזון העדין שבין הזכויות והאינטרסים הצריכים לעניין. אולם אין לומר כי הסטייה מן ההסדרים הללו, מחייבת בהכרח את ביטולו של חוק ההסדרה. אדרבה, מן ההסדרים המקובלים בחוק למדנו את אשר ידענו היטב זה מכבר – זכות הקניין, ככל זכות חוקתית, אינה זכות מוחלטת. בנסיבות מסוימות, ראוי לה לסגת מפני זכויות </w:t>
      </w:r>
      <w:r w:rsidRPr="00643EF4">
        <w:rPr>
          <w:rFonts w:ascii="Century" w:hAnsi="Century"/>
          <w:rtl/>
        </w:rPr>
        <w:lastRenderedPageBreak/>
        <w:t>ואינטרסים אחרים. ומהן אותן נסיבות? ובכן, זוהי שאלה של הכרעה ערכית. סעיף 906 למג'לה, סעיף 5 לצו בדבר רכוש ממשלתי</w:t>
      </w:r>
      <w:r w:rsidRPr="00643EF4">
        <w:rPr>
          <w:rFonts w:ascii="Century" w:hAnsi="Century" w:hint="cs"/>
          <w:rtl/>
        </w:rPr>
        <w:t>,</w:t>
      </w:r>
      <w:r w:rsidRPr="00643EF4">
        <w:rPr>
          <w:rFonts w:ascii="Century" w:hAnsi="Century"/>
          <w:rtl/>
        </w:rPr>
        <w:t xml:space="preserve"> וסעיפים 10 ו-23 לחוק המקרקעין, לא ניתנו בסיני מפי הגבורה. הם נחקקו בידי מחוקק בשר ודם, שביקש לקבוע הסדר כללי, עקרוני, שאינו מכוון כלפי מערכת נסיבות יחודית, ואינו מתוחם במקום ובזמן. ביחס למצב דברים רגיל, ההסדר הקבוע בהם הוא ככל הנראה הטוב ביותר, ולכל הפחות הוותיק והמקובל ביותר. ואולם חוק ההסדרה אינו מתיימר להתמודד עם מצב דברים רגיל, ואינו מבקש לקבוע הסדר אידיאלי, לכתחילה, לנטילה והעברה של זכויות במקרקעין; הורתו ולידתו במציאות יחודית ומורכבת, שעליה עמדנו בהרחבה. מטעם זה תוחם עצמו חוק ההסדרה במקום – בהיותו מוגבל לשטח האזור, ובזמן – בהיותו צופה פני עבר בלבד.</w:t>
      </w:r>
    </w:p>
    <w:p w14:paraId="4C5D2DBA" w14:textId="77777777" w:rsidR="0062781A" w:rsidRPr="00643EF4" w:rsidRDefault="0062781A" w:rsidP="0062781A">
      <w:pPr>
        <w:pStyle w:val="Ruller41"/>
        <w:rPr>
          <w:rFonts w:ascii="Century" w:hAnsi="Century"/>
          <w:rtl/>
        </w:rPr>
      </w:pPr>
    </w:p>
    <w:p w14:paraId="2DB01748" w14:textId="101DB00A" w:rsidR="0062781A" w:rsidRPr="00643EF4" w:rsidRDefault="0062781A" w:rsidP="0062781A">
      <w:pPr>
        <w:pStyle w:val="Ruller41"/>
        <w:rPr>
          <w:rFonts w:ascii="Century" w:hAnsi="Century"/>
          <w:rtl/>
        </w:rPr>
      </w:pPr>
      <w:r w:rsidRPr="00643EF4">
        <w:rPr>
          <w:rFonts w:ascii="Century" w:hAnsi="Century"/>
          <w:rtl/>
        </w:rPr>
        <w:t>50.</w:t>
      </w:r>
      <w:r w:rsidRPr="00643EF4">
        <w:rPr>
          <w:rFonts w:ascii="Century" w:hAnsi="Century"/>
          <w:rtl/>
        </w:rPr>
        <w:tab/>
        <w:t>אכן, נסיבות חריגות, עשויות להצדיק צעדים חריגים. חוק רכישת מקרקעים (אישור פעולות ופיצויים), התשי"ג-1953, שעליו עמד היועץ המשפטי לממשלה ועמדה גם חברתי, ומכוחו הופ</w:t>
      </w:r>
      <w:r w:rsidR="00A26221">
        <w:rPr>
          <w:rFonts w:ascii="Century" w:hAnsi="Century"/>
          <w:rtl/>
        </w:rPr>
        <w:t>קעו מקרקעין שננטשו על-ידי בעליה</w:t>
      </w:r>
      <w:r w:rsidR="00A26221">
        <w:rPr>
          <w:rFonts w:ascii="Century" w:hAnsi="Century" w:hint="cs"/>
          <w:rtl/>
        </w:rPr>
        <w:t>ם</w:t>
      </w:r>
      <w:r w:rsidRPr="00643EF4">
        <w:rPr>
          <w:rFonts w:ascii="Century" w:hAnsi="Century"/>
          <w:rtl/>
        </w:rPr>
        <w:t xml:space="preserve"> בתקופה שלאחר קום המדינה, הוא דוגמה מובהקת לכך. את פגיעתו של חוק זה בזכות הקניין ניתן להבין ולהצדיק, רק מתוך התבוננות בנסיבות ההיסטוריות הייחודיות שבהן נחקק. הטענה כי חקיקה מעין זו לא היתה צולחת בימינו את הבחינה החוקתית, היא טענה היפותטית. לאמיתו של דבר, הכל תלוי בנסיבות; דור דור ונסיבותיו החריגות. הנה לנו דוגמה מהימים האלו ממש, ימי הקורונה, השבים ומזכירים לנו כי התמודדות עם מציאות חריגה, מחייבת נקיטה בצעדים חריגים, גם על חשבונן של זכויות חוקתיות:</w:t>
      </w:r>
    </w:p>
    <w:p w14:paraId="5779EF69" w14:textId="77777777" w:rsidR="0062781A" w:rsidRPr="00643EF4" w:rsidRDefault="0062781A" w:rsidP="0062781A">
      <w:pPr>
        <w:pStyle w:val="Ruller41"/>
        <w:rPr>
          <w:rFonts w:ascii="Century" w:hAnsi="Century"/>
          <w:rtl/>
        </w:rPr>
      </w:pPr>
    </w:p>
    <w:p w14:paraId="7BE26934" w14:textId="77777777" w:rsidR="0062781A" w:rsidRPr="00643EF4" w:rsidRDefault="0062781A" w:rsidP="0062781A">
      <w:pPr>
        <w:pStyle w:val="Ruller41"/>
        <w:ind w:left="567" w:right="567"/>
        <w:rPr>
          <w:rFonts w:ascii="Century" w:hAnsi="Century"/>
          <w:rtl/>
        </w:rPr>
      </w:pPr>
      <w:r w:rsidRPr="00643EF4">
        <w:rPr>
          <w:rFonts w:ascii="Century" w:hAnsi="Century" w:cs="Miriam"/>
          <w:b/>
          <w:spacing w:val="0"/>
          <w:szCs w:val="24"/>
          <w:rtl/>
        </w:rPr>
        <w:t>"בהיבט המשפטי, המגפה מוליכה אותנו בארץ לא זרועה, במחוזות ובמשעולים חוקיים וחוקתיים שלא שיערו ראשונים ולא חזו גם רואי השחורות. זכויות חוקתיות בסיסיות כמו הזכות לפרטיות, לקניין, לחופש העיסוק ולחופש התנועה בתוך ישראל נאלמות דום מול מונחים כמו סגר והסגר, כתר, מחסומי דרכים, איכון טלפונים על ידי השב"כ, ריחוק חברתי ועוד. כל אלה חולפים בסך לפנינו כמו חלום בלהה דיסטופי במדינה דמוקרטית שחירויות האזרח הן בבסיס קיומה. בימים של שגרה, אמצעים אלה היו נפסלים על אתר כבלתי חוקיים בעליל, אך הימים אינם ימים רגילים ומפני 'שהשעה צריכה לכך' (יבמות צ ע"ב, סנהדרין מ"ו ע"א), אין מנוס אלא מלהלקות את הציבור, הגם שלא חטא ואינו ראוי ללקות"</w:t>
      </w:r>
      <w:r w:rsidRPr="00643EF4">
        <w:rPr>
          <w:rFonts w:ascii="FrankRuehl" w:hAnsi="FrankRuehl"/>
          <w:color w:val="333333"/>
          <w:sz w:val="28"/>
          <w:shd w:val="clear" w:color="auto" w:fill="FFFFFF"/>
          <w:rtl/>
        </w:rPr>
        <w:t xml:space="preserve"> (בג"ץ 2435/20 </w:t>
      </w:r>
      <w:r w:rsidRPr="00643EF4">
        <w:rPr>
          <w:rFonts w:ascii="Century" w:hAnsi="Century" w:cs="Miriam"/>
          <w:b/>
          <w:spacing w:val="0"/>
          <w:szCs w:val="24"/>
          <w:rtl/>
        </w:rPr>
        <w:t>לוונטהל נ' ראש הממשלה</w:t>
      </w:r>
      <w:r w:rsidRPr="00643EF4">
        <w:rPr>
          <w:rFonts w:ascii="FrankRuehl" w:hAnsi="FrankRuehl"/>
          <w:color w:val="333333"/>
          <w:sz w:val="28"/>
          <w:shd w:val="clear" w:color="auto" w:fill="FFFFFF"/>
          <w:rtl/>
        </w:rPr>
        <w:t>, פסקה 1 (7.4.2020)).</w:t>
      </w:r>
    </w:p>
    <w:p w14:paraId="37EAFCD5" w14:textId="77777777" w:rsidR="0062781A" w:rsidRPr="00643EF4" w:rsidRDefault="0062781A" w:rsidP="0062781A">
      <w:pPr>
        <w:pStyle w:val="Ruller41"/>
        <w:rPr>
          <w:rFonts w:ascii="Century" w:hAnsi="Century"/>
          <w:rtl/>
        </w:rPr>
      </w:pPr>
    </w:p>
    <w:p w14:paraId="4CF2447B" w14:textId="77777777" w:rsidR="0062781A" w:rsidRPr="00643EF4" w:rsidRDefault="0062781A" w:rsidP="0062781A">
      <w:pPr>
        <w:pStyle w:val="Ruller41"/>
        <w:rPr>
          <w:rFonts w:ascii="Century" w:hAnsi="Century"/>
          <w:rtl/>
        </w:rPr>
      </w:pPr>
      <w:r w:rsidRPr="00643EF4">
        <w:rPr>
          <w:rFonts w:ascii="Century" w:hAnsi="Century"/>
          <w:rtl/>
        </w:rPr>
        <w:t>51.</w:t>
      </w:r>
      <w:r w:rsidRPr="00643EF4">
        <w:rPr>
          <w:rFonts w:ascii="Century" w:hAnsi="Century"/>
          <w:rtl/>
        </w:rPr>
        <w:tab/>
        <w:t>אינני מבקש להשוות בין ימי ראשית המדינה או ימי הקורונה, לבין הנדון דידן. אך תובנה אחת משותפת לכל אלו – נסיבות חריגות, לא יכולות להיבחן במשקפי הדין ה'רגיל'. ההתמודדות עמן, כאשר השעה צריכה לכך, מחייבת סטייה מן המתוקן והמקובל; אכן, זה לא נחמד ונעים: לא בדרך המלך נלך.</w:t>
      </w:r>
    </w:p>
    <w:p w14:paraId="0539F901" w14:textId="77777777" w:rsidR="0062781A" w:rsidRPr="00643EF4" w:rsidRDefault="0062781A" w:rsidP="0062781A">
      <w:pPr>
        <w:pStyle w:val="Ruller41"/>
        <w:spacing w:line="240" w:lineRule="auto"/>
        <w:rPr>
          <w:rFonts w:ascii="Century" w:hAnsi="Century"/>
          <w:rtl/>
        </w:rPr>
      </w:pPr>
    </w:p>
    <w:p w14:paraId="1C12586F" w14:textId="77777777" w:rsidR="0062781A" w:rsidRPr="00643EF4" w:rsidRDefault="0062781A" w:rsidP="0062781A">
      <w:pPr>
        <w:pStyle w:val="Ruller41"/>
        <w:rPr>
          <w:rFonts w:ascii="Century" w:hAnsi="Century"/>
          <w:rtl/>
        </w:rPr>
      </w:pPr>
      <w:r w:rsidRPr="00643EF4">
        <w:rPr>
          <w:rFonts w:ascii="Century" w:hAnsi="Century"/>
          <w:rtl/>
        </w:rPr>
        <w:lastRenderedPageBreak/>
        <w:tab/>
        <w:t xml:space="preserve">סטייתו של חוק ההסדרה מן ההסדרים המקובלים בדין, היא כשלעצמה אינה מצדיקה את ביטולו. דרישת תום הלב, שברגיל היא דרישה הכרחית ומוצדקת, איננה חזות הכל. לעתים חריגות, כמו בענייננו, ישנם שיקולים נוספים הראויים להישקל. והללו נשקלו כדבעי, לא על-ידי פקיד ממשלתי זה או אחר, זוטר או בכיר, אלא על-ידי כנסת ישראל – בכבודה ובעצמה. ודוק: הדרישה החלופית לדרישת תום הלב שאותה הציב המחוקק – הסכמת המדינה – אינה מתעלמת לחלוטין משאלת תום הלב של המחזיק בקרקע. דרישה זו מבוססת על הכרת המציאות, שבה מתיישבים פעלו לעתים מתוך הבנה כי הם מגשימים את מדיניות הרשויות. כאמור לעיל בדברים שהובאו בהרחבה מדו"ח לוי, רשויות המדינה היו מעורבות משך שנים ארוכות בבניית ההתיישבות הבלתי חוקית, אם באופן ישיר, אם באופן עקיף, אם בגלוי ואם בסתר. </w:t>
      </w:r>
      <w:r w:rsidRPr="00643EF4">
        <w:rPr>
          <w:rFonts w:ascii="Century" w:hAnsi="Century" w:cs="Miriam"/>
          <w:b/>
          <w:spacing w:val="0"/>
          <w:szCs w:val="24"/>
          <w:rtl/>
        </w:rPr>
        <w:t>"להתנהלות זו נודעת נפקות במישור המשפטי, והכוונה לדרך בה היתה אמורה להיות מובנת על ידי המתיישבים ביהודה ושומרון. להשקפתנו, אלה היו רשאים להניח כי הרחבתו של מפעל ההתיישבות [...] הוא עניין בו הממשלה חפצה ואותו היא מעודדת"</w:t>
      </w:r>
      <w:r w:rsidRPr="00643EF4">
        <w:rPr>
          <w:rFonts w:ascii="Century" w:hAnsi="Century"/>
          <w:rtl/>
        </w:rPr>
        <w:t xml:space="preserve"> (עמוד 49 לדו"ח לוי).</w:t>
      </w:r>
    </w:p>
    <w:p w14:paraId="06D74F3A" w14:textId="77777777" w:rsidR="0062781A" w:rsidRPr="00643EF4" w:rsidRDefault="0062781A" w:rsidP="0062781A">
      <w:pPr>
        <w:pStyle w:val="Ruller41"/>
        <w:rPr>
          <w:rFonts w:ascii="Century" w:hAnsi="Century"/>
          <w:rtl/>
        </w:rPr>
      </w:pPr>
    </w:p>
    <w:p w14:paraId="0D0720B1" w14:textId="77777777" w:rsidR="0062781A" w:rsidRPr="00643EF4" w:rsidRDefault="0062781A" w:rsidP="0062781A">
      <w:pPr>
        <w:pStyle w:val="Ruller41"/>
        <w:rPr>
          <w:rFonts w:ascii="Century" w:hAnsi="Century"/>
          <w:rtl/>
        </w:rPr>
      </w:pPr>
      <w:r w:rsidRPr="00643EF4">
        <w:rPr>
          <w:rtl/>
        </w:rPr>
        <w:t>52.</w:t>
      </w:r>
      <w:r w:rsidRPr="00643EF4">
        <w:rPr>
          <w:rtl/>
        </w:rPr>
        <w:tab/>
      </w:r>
      <w:r w:rsidRPr="00643EF4">
        <w:rPr>
          <w:rFonts w:ascii="Century" w:hAnsi="Century"/>
          <w:rtl/>
        </w:rPr>
        <w:t>נותרה פגיעתו של החוק בזכות החוקתית לשוויון; ומתוך שהארכתי בפירוט המציאות המורכבת שמתוכה ולתוכה נחקק חוק ההסדרה, אוכל לקצר עתה, בבואי להסביר מדוע פגיעתו של החוק בזכות לשוויון היא מידתית. לא ניתן להשוות בין עניינה של התיישבות ישראלית באזור הטעונה הסדרה, לבין התיישבות פלסטינית דומה. מעורבותן של רשויות המדינה בהקמת המבנים; האיסור על מכירת קרקעות ליהודים; עבודתו של 'צוות קו כחול' – כל אלו נסיבות יחודיות להתיישבות הישראלית בלבד. יתרה מזאת, כפי שציינה הממשלה בתגובתה המקדמית, בעקבות ההסדר הדיוני מיום 12.3.2017 שהוצע על-ידי היועץ המשפטי לממשלה, ולפיו 'לא יבוצעו צווים אופרטיביים שעליהם חל החוק, שיש בהם כדי לשנות את המצב הקיים', הוקפאו מאות הליכי אכיפה גם ביחס לבנייה בלתי חוקית פלסטינית (סעיף 177 לתגובה המקדמית מטעם הממשלה). נמצאנו למדים אפוא, כי גם אם מלכתחילה ביקש המחוקק להיטיב דווקא עם מתיישבים ישראלים, הרי שבדיעבד צפוי החוק להיטיב במידת מה גם עם האוכלוסייה הפלסטינית.</w:t>
      </w:r>
    </w:p>
    <w:p w14:paraId="27CADC75" w14:textId="2195A560" w:rsidR="0062781A" w:rsidRPr="00643EF4" w:rsidRDefault="0062781A" w:rsidP="0062781A">
      <w:pPr>
        <w:pStyle w:val="Ruller41"/>
        <w:rPr>
          <w:rtl/>
        </w:rPr>
      </w:pPr>
    </w:p>
    <w:p w14:paraId="2C784A13" w14:textId="0F1F11BD" w:rsidR="0062781A" w:rsidRPr="00643EF4" w:rsidRDefault="0062781A" w:rsidP="0062781A">
      <w:pPr>
        <w:pStyle w:val="Ruller41"/>
        <w:spacing w:line="480" w:lineRule="auto"/>
        <w:rPr>
          <w:rFonts w:ascii="Miriam" w:hAnsi="Miriam" w:cs="Miriam"/>
          <w:sz w:val="18"/>
          <w:szCs w:val="24"/>
          <w:rtl/>
        </w:rPr>
      </w:pPr>
      <w:r w:rsidRPr="00643EF4">
        <w:rPr>
          <w:rFonts w:ascii="Century" w:hAnsi="Century" w:cs="Miriam"/>
          <w:b/>
          <w:spacing w:val="0"/>
          <w:szCs w:val="24"/>
          <w:rtl/>
        </w:rPr>
        <w:t>חוק ההסדרה – סוף דבר</w:t>
      </w:r>
    </w:p>
    <w:p w14:paraId="35F83D2D" w14:textId="77777777" w:rsidR="0043011E" w:rsidRPr="00643EF4" w:rsidRDefault="0043011E" w:rsidP="0062781A">
      <w:pPr>
        <w:pStyle w:val="Ruller41"/>
        <w:spacing w:line="480" w:lineRule="auto"/>
        <w:rPr>
          <w:rFonts w:ascii="Miriam" w:hAnsi="Miriam" w:cs="Miriam"/>
          <w:sz w:val="2"/>
          <w:szCs w:val="8"/>
        </w:rPr>
      </w:pPr>
    </w:p>
    <w:p w14:paraId="1DBE7F04" w14:textId="77777777" w:rsidR="0062781A" w:rsidRPr="00643EF4" w:rsidRDefault="0062781A" w:rsidP="0062781A">
      <w:pPr>
        <w:pStyle w:val="Ruller41"/>
        <w:rPr>
          <w:rtl/>
        </w:rPr>
      </w:pPr>
      <w:r w:rsidRPr="00643EF4">
        <w:rPr>
          <w:rtl/>
        </w:rPr>
        <w:t>53.</w:t>
      </w:r>
      <w:r w:rsidRPr="00643EF4">
        <w:rPr>
          <w:rtl/>
        </w:rPr>
        <w:tab/>
      </w:r>
      <w:r w:rsidRPr="00643EF4">
        <w:rPr>
          <w:rFonts w:ascii="Century" w:hAnsi="Century" w:cs="Miriam"/>
          <w:b/>
          <w:spacing w:val="0"/>
          <w:szCs w:val="24"/>
          <w:rtl/>
        </w:rPr>
        <w:t>"המציאות המורכבת, זו שביסוד התיק וזו שבנסיבות הכלליות באזור, מצדיקה גישה פרגמטית של שכל ישר, תחת</w:t>
      </w:r>
      <w:r w:rsidRPr="00643EF4">
        <w:rPr>
          <w:rFonts w:ascii="Century" w:hAnsi="Century" w:cs="Miriam" w:hint="cs"/>
          <w:b/>
          <w:spacing w:val="0"/>
          <w:szCs w:val="24"/>
          <w:rtl/>
        </w:rPr>
        <w:t xml:space="preserve"> [...]</w:t>
      </w:r>
      <w:r w:rsidRPr="00643EF4">
        <w:rPr>
          <w:rFonts w:ascii="Century" w:hAnsi="Century" w:cs="Miriam"/>
          <w:b/>
          <w:spacing w:val="0"/>
          <w:szCs w:val="24"/>
          <w:rtl/>
        </w:rPr>
        <w:t xml:space="preserve"> 'משפטית נטו'" </w:t>
      </w:r>
      <w:r w:rsidRPr="00643EF4">
        <w:rPr>
          <w:rtl/>
        </w:rPr>
        <w:t xml:space="preserve">(דברי המשנה לנשיאה (בדימוס) </w:t>
      </w:r>
      <w:r w:rsidRPr="00643EF4">
        <w:rPr>
          <w:rFonts w:ascii="Century" w:hAnsi="Century" w:cs="Miriam"/>
          <w:b/>
          <w:spacing w:val="0"/>
          <w:szCs w:val="24"/>
          <w:rtl/>
        </w:rPr>
        <w:t>א' רובינשטיין</w:t>
      </w:r>
      <w:r w:rsidRPr="00643EF4">
        <w:rPr>
          <w:rtl/>
        </w:rPr>
        <w:t xml:space="preserve"> בבג"ץ 5165/15 </w:t>
      </w:r>
      <w:r w:rsidRPr="00643EF4">
        <w:rPr>
          <w:rFonts w:ascii="Century" w:hAnsi="Century" w:cs="Miriam"/>
          <w:b/>
          <w:spacing w:val="0"/>
          <w:szCs w:val="24"/>
          <w:rtl/>
        </w:rPr>
        <w:t>קאסם נ' הממונה על מתן היתרים בשטחים שנתפסו לצרכים צבאיים</w:t>
      </w:r>
      <w:r w:rsidRPr="00643EF4">
        <w:rPr>
          <w:rtl/>
        </w:rPr>
        <w:t xml:space="preserve"> (10.9.2017)). חוק ההסדרה מבטא גישה פרגמטית שבה החליטה לנקוט כנסת ישראל, מתוך הבנה מלאה של הדילמה המונחת לפ</w:t>
      </w:r>
      <w:r w:rsidRPr="00643EF4">
        <w:rPr>
          <w:rFonts w:hint="cs"/>
          <w:rtl/>
        </w:rPr>
        <w:t>ִ</w:t>
      </w:r>
      <w:r w:rsidRPr="00643EF4">
        <w:rPr>
          <w:rtl/>
        </w:rPr>
        <w:t>תחה, והכרה במציאות המורכבת שנוצרה בשטח. סיכם זאת היטב ב"כ הממשלה:</w:t>
      </w:r>
    </w:p>
    <w:p w14:paraId="301B7433" w14:textId="77777777" w:rsidR="0062781A" w:rsidRPr="00643EF4" w:rsidRDefault="0062781A" w:rsidP="0062781A">
      <w:pPr>
        <w:pStyle w:val="Ruller41"/>
        <w:rPr>
          <w:rtl/>
        </w:rPr>
      </w:pPr>
    </w:p>
    <w:p w14:paraId="2845A7C3" w14:textId="77777777" w:rsidR="0062781A" w:rsidRPr="00643EF4" w:rsidRDefault="0062781A" w:rsidP="0062781A">
      <w:pPr>
        <w:pStyle w:val="Ruller41"/>
        <w:ind w:left="567" w:right="567"/>
        <w:rPr>
          <w:rtl/>
        </w:rPr>
      </w:pPr>
      <w:r w:rsidRPr="00643EF4">
        <w:rPr>
          <w:rFonts w:ascii="Century" w:hAnsi="Century" w:cs="Miriam"/>
          <w:b/>
          <w:spacing w:val="0"/>
          <w:szCs w:val="24"/>
          <w:rtl/>
        </w:rPr>
        <w:lastRenderedPageBreak/>
        <w:t xml:space="preserve">"המחוקק הישראלי הכריע. הוא הכריע כי המצב הנוכחי </w:t>
      </w:r>
      <w:r w:rsidRPr="00643EF4">
        <w:rPr>
          <w:rFonts w:ascii="Century" w:hAnsi="Century"/>
          <w:rtl/>
        </w:rPr>
        <w:t>–</w:t>
      </w:r>
      <w:r w:rsidRPr="00643EF4">
        <w:rPr>
          <w:rFonts w:ascii="Century" w:hAnsi="Century" w:cs="Miriam" w:hint="cs"/>
          <w:b/>
          <w:spacing w:val="0"/>
          <w:szCs w:val="24"/>
          <w:rtl/>
        </w:rPr>
        <w:t xml:space="preserve"> </w:t>
      </w:r>
      <w:r w:rsidRPr="00643EF4">
        <w:rPr>
          <w:rFonts w:ascii="Century" w:hAnsi="Century" w:cs="Miriam"/>
          <w:b/>
          <w:spacing w:val="0"/>
          <w:szCs w:val="24"/>
          <w:rtl/>
        </w:rPr>
        <w:t xml:space="preserve">של פער בין מציאות משפטית לעובדתית, של אי ודאות תכנונית וקניינית, של חרב הריסה המתנוססת מעל אלפי בתים </w:t>
      </w:r>
      <w:r w:rsidRPr="00643EF4">
        <w:rPr>
          <w:rFonts w:ascii="Century" w:hAnsi="Century"/>
          <w:rtl/>
        </w:rPr>
        <w:t>–</w:t>
      </w:r>
      <w:r w:rsidRPr="00643EF4">
        <w:rPr>
          <w:rFonts w:ascii="Century" w:hAnsi="Century" w:cs="Miriam"/>
          <w:b/>
          <w:spacing w:val="0"/>
          <w:szCs w:val="24"/>
          <w:rtl/>
        </w:rPr>
        <w:t xml:space="preserve"> צריך להשתנות. הוא קבע, כי הגיעה השעה להסדיר את כל אותם מקומות שבהם המדינה, על זרועותיה, נטלה חלק בבניה. זאת, גם במחיר של פגיעה בזכות הקניין של בעלי הקרקע. זאת, בין היתר גם בהתחשב בכך שהמחזיקים בקרקע, שהסתמכו על הרשויות (מקום שבו ההתיישבות נעשתה בהסכמת המדינה) או פעלו בתום לב, בנו את חייהם והשקיעו את מיטב אונם והונם, במציאות משפטית ופוליטית מורכבת, ובנסיבות אלה </w:t>
      </w:r>
      <w:r w:rsidRPr="00643EF4">
        <w:rPr>
          <w:rFonts w:ascii="Century" w:hAnsi="Century"/>
          <w:rtl/>
        </w:rPr>
        <w:t>–</w:t>
      </w:r>
      <w:r w:rsidRPr="00643EF4">
        <w:rPr>
          <w:rFonts w:ascii="Century" w:hAnsi="Century" w:cs="Miriam"/>
          <w:b/>
          <w:spacing w:val="0"/>
          <w:szCs w:val="24"/>
          <w:rtl/>
        </w:rPr>
        <w:t xml:space="preserve"> האיזון מחייב להעדיף את זכויות המחזיקים, בכפוף לתנאים הקבועים בחוק הכוללים פיצוי מלא ונדיב לבעלים. בכך ביטא המחוקק את העיקרון הבסיסי שזכויות, וזכות הקניין בכלל, אינן מוחלטות. בנסיבות אלה, עדיף מתן קרקע חלופית או פיצוי נדיב על פני חורבן בתים או שכונות או הקפאה תכנונית שסופה לא נראה לעין. בנסיבות אלה, עדיפה מניעת הפגיעה הקונקרטית והמוחשית במהלך חייהן של אלפי משפחות ממניעת הפגיעה בזכות הקניין, לעתים, מופשטת ולא בת מימוש. בנסיבות אלה, כך קבע המחוקק, אין זה סביר להרוס בתים ושכונות רק בשל שמירה קנאית ומוחלטת על זכות הקניין"</w:t>
      </w:r>
      <w:r w:rsidRPr="00643EF4">
        <w:rPr>
          <w:rtl/>
        </w:rPr>
        <w:t xml:space="preserve"> (סעיף 122 לתגובה המקדמית מטעם הממשלה). </w:t>
      </w:r>
    </w:p>
    <w:p w14:paraId="1341B883" w14:textId="77777777" w:rsidR="0062781A" w:rsidRPr="00643EF4" w:rsidRDefault="0062781A" w:rsidP="0062781A">
      <w:pPr>
        <w:pStyle w:val="Ruller41"/>
        <w:rPr>
          <w:rtl/>
        </w:rPr>
      </w:pPr>
      <w:r w:rsidRPr="00643EF4">
        <w:rPr>
          <w:rtl/>
        </w:rPr>
        <w:t xml:space="preserve"> </w:t>
      </w:r>
    </w:p>
    <w:p w14:paraId="5B5036CE" w14:textId="77777777" w:rsidR="0062781A" w:rsidRPr="00643EF4" w:rsidRDefault="0062781A" w:rsidP="0062781A">
      <w:pPr>
        <w:pStyle w:val="Ruller41"/>
        <w:rPr>
          <w:rtl/>
        </w:rPr>
      </w:pPr>
      <w:r w:rsidRPr="00643EF4">
        <w:rPr>
          <w:rtl/>
        </w:rPr>
        <w:t>54.</w:t>
      </w:r>
      <w:r w:rsidRPr="00643EF4">
        <w:rPr>
          <w:rtl/>
        </w:rPr>
        <w:tab/>
        <w:t xml:space="preserve">חוק ההסדרה מבטא הכרעה; לא כן ביטולו, שמחזיר אותנו אל </w:t>
      </w:r>
      <w:r w:rsidRPr="00643EF4">
        <w:rPr>
          <w:rFonts w:ascii="Century" w:hAnsi="Century" w:cs="Miriam"/>
          <w:b/>
          <w:spacing w:val="0"/>
          <w:szCs w:val="24"/>
          <w:rtl/>
        </w:rPr>
        <w:t>"מציאות דברים הנמשכת מזה כחמישה עשורים וסופה אינו ידוע"</w:t>
      </w:r>
      <w:r w:rsidRPr="00643EF4">
        <w:rPr>
          <w:rFonts w:ascii="Century" w:hAnsi="Century"/>
          <w:rtl/>
        </w:rPr>
        <w:t xml:space="preserve"> (פסקה 105 לחוות דעתה של חברתי</w:t>
      </w:r>
      <w:r w:rsidRPr="00643EF4">
        <w:rPr>
          <w:rFonts w:ascii="Century" w:hAnsi="Century" w:hint="cs"/>
          <w:rtl/>
        </w:rPr>
        <w:t xml:space="preserve"> הנשיאה</w:t>
      </w:r>
      <w:r w:rsidRPr="00643EF4">
        <w:rPr>
          <w:rFonts w:ascii="Century" w:hAnsi="Century"/>
          <w:rtl/>
        </w:rPr>
        <w:t>)</w:t>
      </w:r>
      <w:r w:rsidRPr="00643EF4">
        <w:rPr>
          <w:rtl/>
        </w:rPr>
        <w:t xml:space="preserve"> – קיפאון קנייני ותכנוני, חוסר ודאות, 'לא לבלוע ולא להקיא'. בחלק מן המקרים יוביל ביטול החוק לפינוי והריסה, שהתועלת בהם מוטלת בספק (ונזכיר כי ביטול החוק מותיר אלפי בתים ללא תקנה. המשמעויות המדיניות והכלכליות הנודעות לכך – ומהן ביקשה הכנסת להימנע – אדירות, והן מעוררות ספק בדבר האפשרות שפינוי מעין זה אכן יצא לפועל בעתיד הנראה לעין). סעיף 5 לצו בדבר רכוש ממשלתי (שעל פיתוחו ויישומו שוקד היועץ המשפטי לממשלה, כאמור בהודעת העדכון מטעמו מיום 24.12.2018), יועיל, אולי, להסדרת חלק מן המבנים, אך לא יפגע פחות בזכות הקניין של בעלי הקרקע הפלסטיניים. אדרבה, בניגוד לחוק ההסדרה, שמעניק פיצוי נדיב, סעיף 5 מותיר את בעלי הקרקע ללא פיצוי כלל. האמנם זהו, בנסיבות העניין, פתרון מידתי יותר?</w:t>
      </w:r>
    </w:p>
    <w:p w14:paraId="2F536609" w14:textId="77777777" w:rsidR="0062781A" w:rsidRPr="00643EF4" w:rsidRDefault="0062781A" w:rsidP="0062781A">
      <w:pPr>
        <w:pStyle w:val="Ruller41"/>
        <w:spacing w:line="240" w:lineRule="auto"/>
        <w:rPr>
          <w:rtl/>
        </w:rPr>
      </w:pPr>
    </w:p>
    <w:p w14:paraId="2D7E4202" w14:textId="77777777" w:rsidR="0062781A" w:rsidRPr="00643EF4" w:rsidRDefault="0062781A" w:rsidP="0062781A">
      <w:pPr>
        <w:pStyle w:val="Ruller41"/>
        <w:rPr>
          <w:rtl/>
        </w:rPr>
      </w:pPr>
      <w:r w:rsidRPr="00643EF4">
        <w:rPr>
          <w:rtl/>
        </w:rPr>
        <w:tab/>
        <w:t xml:space="preserve">חוששני כי ביטול החוק לא יועיל – לא למתיישבים, גם לא לבעלי הקרקע. אלו לא נהנים, ואלו חסרים. הקרקעות והמבנים שאותם ביקש המחוקק להסדיר, למצער רובם, ישארו מונחים אפוא בשיממונם וקיפאונם – עד שיבוא אליהו, או עד 'להכרעה מדינית בדבר מעמדו של האזור וההתיישבות בו' (המוקדם מביניהם).  </w:t>
      </w:r>
    </w:p>
    <w:p w14:paraId="5FB71F4A" w14:textId="77777777" w:rsidR="0062781A" w:rsidRPr="00643EF4" w:rsidRDefault="0062781A" w:rsidP="0062781A">
      <w:pPr>
        <w:pStyle w:val="Ruller41"/>
        <w:rPr>
          <w:rtl/>
        </w:rPr>
      </w:pPr>
    </w:p>
    <w:p w14:paraId="0F384E8D" w14:textId="77777777" w:rsidR="0062781A" w:rsidRPr="00643EF4" w:rsidRDefault="0062781A" w:rsidP="0062781A">
      <w:pPr>
        <w:pStyle w:val="Ruller41"/>
        <w:rPr>
          <w:rtl/>
        </w:rPr>
      </w:pPr>
      <w:r w:rsidRPr="00643EF4">
        <w:rPr>
          <w:rtl/>
        </w:rPr>
        <w:t>55.</w:t>
      </w:r>
      <w:r w:rsidRPr="00643EF4">
        <w:rPr>
          <w:rtl/>
        </w:rPr>
        <w:tab/>
        <w:t xml:space="preserve">אילו דעתי היתה נשמעת – לא היינו מבטלים את חוק ההסדרה; דיינו במחיקה חלקית </w:t>
      </w:r>
      <w:r w:rsidRPr="00643EF4">
        <w:rPr>
          <w:rFonts w:hint="cs"/>
          <w:rtl/>
        </w:rPr>
        <w:t xml:space="preserve">בהגדרתם </w:t>
      </w:r>
      <w:r w:rsidRPr="00643EF4">
        <w:rPr>
          <w:rtl/>
        </w:rPr>
        <w:t xml:space="preserve">של 2 מונחים בסעיף </w:t>
      </w:r>
      <w:r w:rsidRPr="00643EF4">
        <w:rPr>
          <w:rFonts w:hint="cs"/>
          <w:rtl/>
        </w:rPr>
        <w:t>2 לחוק</w:t>
      </w:r>
      <w:r w:rsidRPr="00643EF4">
        <w:rPr>
          <w:rtl/>
        </w:rPr>
        <w:t xml:space="preserve"> –</w:t>
      </w:r>
      <w:r w:rsidRPr="00643EF4">
        <w:rPr>
          <w:rFonts w:hint="cs"/>
          <w:rtl/>
        </w:rPr>
        <w:t xml:space="preserve"> 'התיישבות' ו'מדינה' </w:t>
      </w:r>
      <w:r w:rsidRPr="00643EF4">
        <w:rPr>
          <w:rtl/>
        </w:rPr>
        <w:t>–</w:t>
      </w:r>
      <w:r w:rsidRPr="00643EF4">
        <w:rPr>
          <w:rFonts w:hint="cs"/>
          <w:rtl/>
        </w:rPr>
        <w:t xml:space="preserve">  </w:t>
      </w:r>
      <w:r w:rsidRPr="00643EF4">
        <w:rPr>
          <w:rtl/>
        </w:rPr>
        <w:t>ב'עפרון כחול'</w:t>
      </w:r>
      <w:r w:rsidRPr="00643EF4">
        <w:rPr>
          <w:rFonts w:hint="cs"/>
          <w:rtl/>
        </w:rPr>
        <w:t>.</w:t>
      </w:r>
      <w:r w:rsidRPr="00643EF4">
        <w:rPr>
          <w:rtl/>
        </w:rPr>
        <w:t xml:space="preserve"> </w:t>
      </w:r>
    </w:p>
    <w:p w14:paraId="3738CD9F" w14:textId="435BB2C6" w:rsidR="0062781A" w:rsidRPr="00643EF4" w:rsidRDefault="0062781A" w:rsidP="00857BCA">
      <w:pPr>
        <w:pStyle w:val="BODYVERDICT"/>
        <w:rPr>
          <w:rFonts w:cs="Miriam"/>
          <w:sz w:val="24"/>
          <w:szCs w:val="24"/>
          <w:rtl/>
        </w:rPr>
      </w:pPr>
    </w:p>
    <w:p w14:paraId="2FE63072" w14:textId="77777777" w:rsidR="0062781A" w:rsidRPr="00643EF4" w:rsidRDefault="0062781A" w:rsidP="00857BCA">
      <w:pPr>
        <w:pStyle w:val="BODYVERDICT"/>
        <w:rPr>
          <w:rFonts w:cs="Miriam"/>
          <w:sz w:val="24"/>
          <w:szCs w:val="24"/>
          <w:rtl/>
        </w:rPr>
      </w:pPr>
    </w:p>
    <w:tbl>
      <w:tblPr>
        <w:bidiVisual/>
        <w:tblW w:w="8363" w:type="dxa"/>
        <w:tblLook w:val="01E0" w:firstRow="1" w:lastRow="1" w:firstColumn="1" w:lastColumn="1" w:noHBand="0" w:noVBand="0"/>
      </w:tblPr>
      <w:tblGrid>
        <w:gridCol w:w="2786"/>
        <w:gridCol w:w="2787"/>
        <w:gridCol w:w="2790"/>
      </w:tblGrid>
      <w:tr w:rsidR="00857BCA" w:rsidRPr="00643EF4" w14:paraId="6A0A1AC9" w14:textId="77777777" w:rsidTr="00EA5DF0">
        <w:tc>
          <w:tcPr>
            <w:tcW w:w="2842" w:type="dxa"/>
            <w:hideMark/>
          </w:tcPr>
          <w:p w14:paraId="42782C02" w14:textId="77777777" w:rsidR="00857BCA" w:rsidRPr="00643EF4" w:rsidRDefault="00857BCA" w:rsidP="00EA5DF0">
            <w:pPr>
              <w:pStyle w:val="Ruller41"/>
            </w:pPr>
          </w:p>
        </w:tc>
        <w:tc>
          <w:tcPr>
            <w:tcW w:w="2843" w:type="dxa"/>
            <w:hideMark/>
          </w:tcPr>
          <w:p w14:paraId="173D2A10" w14:textId="77777777" w:rsidR="00857BCA" w:rsidRPr="00643EF4" w:rsidRDefault="00857BCA" w:rsidP="00EA5DF0">
            <w:pPr>
              <w:pStyle w:val="Ruller41"/>
              <w:jc w:val="center"/>
              <w:rPr>
                <w:rtl/>
              </w:rPr>
            </w:pPr>
          </w:p>
        </w:tc>
        <w:tc>
          <w:tcPr>
            <w:tcW w:w="2843" w:type="dxa"/>
            <w:hideMark/>
          </w:tcPr>
          <w:p w14:paraId="2083596B" w14:textId="77777777" w:rsidR="00857BCA" w:rsidRPr="00643EF4" w:rsidRDefault="00857BCA" w:rsidP="00EA5DF0">
            <w:pPr>
              <w:pStyle w:val="Ruller41"/>
              <w:jc w:val="center"/>
              <w:rPr>
                <w:rtl/>
              </w:rPr>
            </w:pPr>
            <w:r w:rsidRPr="00643EF4">
              <w:rPr>
                <w:rtl/>
              </w:rPr>
              <w:t xml:space="preserve">ש ו פ ט </w:t>
            </w:r>
          </w:p>
        </w:tc>
      </w:tr>
    </w:tbl>
    <w:p w14:paraId="363F3709" w14:textId="61DBED6E" w:rsidR="00857BCA" w:rsidRPr="00643EF4" w:rsidRDefault="00857BCA" w:rsidP="00591983">
      <w:pPr>
        <w:pStyle w:val="Ruller38"/>
        <w:rPr>
          <w:rtl/>
        </w:rPr>
      </w:pPr>
    </w:p>
    <w:p w14:paraId="4D306FA0" w14:textId="6ED67C78" w:rsidR="00857BCA" w:rsidRPr="00643EF4" w:rsidRDefault="00857BCA" w:rsidP="00591983">
      <w:pPr>
        <w:pStyle w:val="Ruller38"/>
        <w:rPr>
          <w:rtl/>
        </w:rPr>
      </w:pPr>
    </w:p>
    <w:p w14:paraId="3571E927" w14:textId="0EAF42F8" w:rsidR="00857BCA" w:rsidRPr="00643EF4" w:rsidRDefault="00857BCA" w:rsidP="00591983">
      <w:pPr>
        <w:pStyle w:val="Ruller38"/>
        <w:rPr>
          <w:rtl/>
        </w:rPr>
      </w:pPr>
    </w:p>
    <w:p w14:paraId="74A8CE93" w14:textId="17B1AB1E" w:rsidR="00857BCA" w:rsidRPr="00643EF4" w:rsidRDefault="00857BCA" w:rsidP="00591983">
      <w:pPr>
        <w:pStyle w:val="Ruller38"/>
        <w:rPr>
          <w:rtl/>
        </w:rPr>
      </w:pPr>
    </w:p>
    <w:p w14:paraId="45DB0844" w14:textId="77777777" w:rsidR="0062781A" w:rsidRPr="00643EF4" w:rsidRDefault="0062781A" w:rsidP="0062781A">
      <w:pPr>
        <w:pStyle w:val="BODYVERDICT"/>
        <w:rPr>
          <w:rFonts w:cs="Miriam"/>
          <w:sz w:val="24"/>
          <w:szCs w:val="24"/>
          <w:u w:val="single"/>
          <w:rtl/>
        </w:rPr>
      </w:pPr>
      <w:r w:rsidRPr="00643EF4">
        <w:rPr>
          <w:rFonts w:cs="Miriam"/>
          <w:sz w:val="24"/>
          <w:szCs w:val="24"/>
          <w:u w:val="single"/>
          <w:rtl/>
        </w:rPr>
        <w:t>השופט נ' הנדל:</w:t>
      </w:r>
    </w:p>
    <w:p w14:paraId="7ED8EBF2" w14:textId="77777777" w:rsidR="0062781A" w:rsidRPr="00643EF4" w:rsidRDefault="0062781A" w:rsidP="0062781A">
      <w:pPr>
        <w:pStyle w:val="BODYVERDICT"/>
        <w:rPr>
          <w:rFonts w:cs="Miriam"/>
          <w:sz w:val="24"/>
          <w:szCs w:val="24"/>
          <w:u w:val="single"/>
          <w:rtl/>
        </w:rPr>
      </w:pPr>
    </w:p>
    <w:p w14:paraId="62E09B8C" w14:textId="77777777" w:rsidR="0062781A" w:rsidRPr="00643EF4" w:rsidRDefault="0062781A" w:rsidP="00595905">
      <w:pPr>
        <w:pStyle w:val="Ruller4"/>
        <w:numPr>
          <w:ilvl w:val="0"/>
          <w:numId w:val="41"/>
        </w:numPr>
        <w:tabs>
          <w:tab w:val="clear" w:pos="907"/>
          <w:tab w:val="num" w:pos="1049"/>
        </w:tabs>
        <w:rPr>
          <w:rtl/>
        </w:rPr>
      </w:pPr>
      <w:r w:rsidRPr="00643EF4">
        <w:rPr>
          <w:rFonts w:hint="eastAsia"/>
          <w:rtl/>
        </w:rPr>
        <w:t>קראתי</w:t>
      </w:r>
      <w:r w:rsidRPr="00643EF4">
        <w:rPr>
          <w:rtl/>
        </w:rPr>
        <w:t xml:space="preserve"> את חוות דעתה הבהירה של חברתי, הנשיאה </w:t>
      </w:r>
      <w:r w:rsidRPr="00643EF4">
        <w:rPr>
          <w:rFonts w:ascii="Century" w:hAnsi="Century" w:cs="Miriam" w:hint="eastAsia"/>
          <w:b/>
          <w:spacing w:val="0"/>
          <w:szCs w:val="24"/>
          <w:rtl/>
        </w:rPr>
        <w:t>א</w:t>
      </w:r>
      <w:r w:rsidRPr="00643EF4">
        <w:rPr>
          <w:rFonts w:ascii="Century" w:hAnsi="Century" w:cs="Miriam"/>
          <w:b/>
          <w:spacing w:val="0"/>
          <w:szCs w:val="24"/>
          <w:rtl/>
        </w:rPr>
        <w:t xml:space="preserve">' </w:t>
      </w:r>
      <w:r w:rsidRPr="00643EF4">
        <w:rPr>
          <w:rFonts w:ascii="Century" w:hAnsi="Century" w:cs="Miriam" w:hint="eastAsia"/>
          <w:b/>
          <w:spacing w:val="0"/>
          <w:szCs w:val="24"/>
          <w:rtl/>
        </w:rPr>
        <w:t>חיות</w:t>
      </w:r>
      <w:r w:rsidRPr="00643EF4">
        <w:rPr>
          <w:rtl/>
        </w:rPr>
        <w:t xml:space="preserve">, </w:t>
      </w:r>
      <w:r w:rsidRPr="00643EF4">
        <w:rPr>
          <w:rFonts w:hint="eastAsia"/>
          <w:rtl/>
        </w:rPr>
        <w:t>ואני</w:t>
      </w:r>
      <w:r w:rsidRPr="00643EF4">
        <w:rPr>
          <w:rtl/>
        </w:rPr>
        <w:t xml:space="preserve"> </w:t>
      </w:r>
      <w:r w:rsidRPr="00643EF4">
        <w:rPr>
          <w:rFonts w:hint="eastAsia"/>
          <w:rtl/>
        </w:rPr>
        <w:t>מצטרף</w:t>
      </w:r>
      <w:r w:rsidRPr="00643EF4">
        <w:rPr>
          <w:rtl/>
        </w:rPr>
        <w:t xml:space="preserve"> </w:t>
      </w:r>
      <w:r w:rsidRPr="00643EF4">
        <w:rPr>
          <w:rFonts w:hint="eastAsia"/>
          <w:rtl/>
        </w:rPr>
        <w:t>למסקנתה</w:t>
      </w:r>
      <w:r w:rsidRPr="00643EF4">
        <w:rPr>
          <w:rtl/>
        </w:rPr>
        <w:t xml:space="preserve"> כי </w:t>
      </w:r>
      <w:r w:rsidRPr="00643EF4">
        <w:rPr>
          <w:rFonts w:hint="eastAsia"/>
          <w:rtl/>
        </w:rPr>
        <w:t>אין</w:t>
      </w:r>
      <w:r w:rsidRPr="00643EF4">
        <w:rPr>
          <w:rtl/>
        </w:rPr>
        <w:t xml:space="preserve"> מנוס מהכרזה על בטלות </w:t>
      </w:r>
      <w:r w:rsidRPr="00643EF4">
        <w:rPr>
          <w:rFonts w:hint="eastAsia"/>
          <w:rtl/>
        </w:rPr>
        <w:t>החוק</w:t>
      </w:r>
      <w:r w:rsidRPr="00643EF4">
        <w:rPr>
          <w:rtl/>
        </w:rPr>
        <w:t xml:space="preserve"> להסדרת ההתיישבות ביהודה והשומרון, התשע"ז-2017 (להלן: </w:t>
      </w:r>
      <w:r w:rsidRPr="00643EF4">
        <w:rPr>
          <w:rFonts w:ascii="Century" w:hAnsi="Century" w:cs="Miriam" w:hint="eastAsia"/>
          <w:b/>
          <w:spacing w:val="0"/>
          <w:szCs w:val="24"/>
          <w:rtl/>
        </w:rPr>
        <w:t>חוק</w:t>
      </w:r>
      <w:r w:rsidRPr="00643EF4">
        <w:rPr>
          <w:rFonts w:ascii="Century" w:hAnsi="Century" w:cs="Miriam"/>
          <w:b/>
          <w:spacing w:val="0"/>
          <w:szCs w:val="24"/>
          <w:rtl/>
        </w:rPr>
        <w:t xml:space="preserve"> </w:t>
      </w:r>
      <w:r w:rsidRPr="00643EF4">
        <w:rPr>
          <w:rFonts w:ascii="Century" w:hAnsi="Century" w:cs="Miriam" w:hint="eastAsia"/>
          <w:b/>
          <w:spacing w:val="0"/>
          <w:szCs w:val="24"/>
          <w:rtl/>
        </w:rPr>
        <w:t>ההסדרה</w:t>
      </w:r>
      <w:r w:rsidRPr="00643EF4">
        <w:rPr>
          <w:rtl/>
        </w:rPr>
        <w:t xml:space="preserve">), </w:t>
      </w:r>
      <w:r w:rsidRPr="00643EF4">
        <w:rPr>
          <w:rFonts w:hint="eastAsia"/>
          <w:rtl/>
        </w:rPr>
        <w:t>בשל</w:t>
      </w:r>
      <w:r w:rsidRPr="00643EF4">
        <w:rPr>
          <w:rtl/>
        </w:rPr>
        <w:t xml:space="preserve"> פגיעתו הלא מידתית </w:t>
      </w:r>
      <w:r w:rsidRPr="00643EF4">
        <w:rPr>
          <w:rFonts w:hint="eastAsia"/>
          <w:rtl/>
        </w:rPr>
        <w:t>בזכויות</w:t>
      </w:r>
      <w:r w:rsidRPr="00643EF4">
        <w:rPr>
          <w:rtl/>
        </w:rPr>
        <w:t xml:space="preserve"> </w:t>
      </w:r>
      <w:r w:rsidRPr="00643EF4">
        <w:rPr>
          <w:rFonts w:hint="eastAsia"/>
          <w:rtl/>
        </w:rPr>
        <w:t>יסוד</w:t>
      </w:r>
      <w:r w:rsidRPr="00643EF4">
        <w:rPr>
          <w:rtl/>
        </w:rPr>
        <w:t xml:space="preserve"> </w:t>
      </w:r>
      <w:r w:rsidRPr="00643EF4">
        <w:rPr>
          <w:rFonts w:hint="eastAsia"/>
          <w:rtl/>
        </w:rPr>
        <w:t>חוקתיות</w:t>
      </w:r>
      <w:r w:rsidRPr="00643EF4">
        <w:rPr>
          <w:rtl/>
        </w:rPr>
        <w:t xml:space="preserve">. </w:t>
      </w:r>
      <w:r w:rsidRPr="00643EF4">
        <w:rPr>
          <w:rFonts w:hint="eastAsia"/>
          <w:rtl/>
        </w:rPr>
        <w:t>עם</w:t>
      </w:r>
      <w:r w:rsidRPr="00643EF4">
        <w:rPr>
          <w:rtl/>
        </w:rPr>
        <w:t xml:space="preserve"> </w:t>
      </w:r>
      <w:r w:rsidRPr="00643EF4">
        <w:rPr>
          <w:rFonts w:hint="eastAsia"/>
          <w:rtl/>
        </w:rPr>
        <w:t>זאת</w:t>
      </w:r>
      <w:r w:rsidRPr="00643EF4">
        <w:rPr>
          <w:rtl/>
        </w:rPr>
        <w:t xml:space="preserve">, </w:t>
      </w:r>
      <w:r w:rsidRPr="00643EF4">
        <w:rPr>
          <w:rFonts w:hint="cs"/>
          <w:rtl/>
        </w:rPr>
        <w:t>ברצוני לעמוד על מספר דגשים העומדים, לשיטתי, בלב ההכרעה</w:t>
      </w:r>
      <w:r w:rsidRPr="00643EF4">
        <w:rPr>
          <w:rtl/>
        </w:rPr>
        <w:t xml:space="preserve">. </w:t>
      </w:r>
      <w:r w:rsidRPr="00643EF4">
        <w:rPr>
          <w:rFonts w:hint="cs"/>
          <w:rtl/>
        </w:rPr>
        <w:t xml:space="preserve">  </w:t>
      </w:r>
    </w:p>
    <w:p w14:paraId="5DBC34C8" w14:textId="77777777" w:rsidR="0062781A" w:rsidRPr="00643EF4" w:rsidRDefault="0062781A" w:rsidP="0062781A">
      <w:pPr>
        <w:pStyle w:val="Ruller41"/>
        <w:rPr>
          <w:rStyle w:val="default"/>
          <w:rFonts w:ascii="Century" w:hAnsi="Century"/>
        </w:rPr>
      </w:pPr>
    </w:p>
    <w:p w14:paraId="1841BE37" w14:textId="77777777" w:rsidR="0062781A" w:rsidRPr="00643EF4" w:rsidRDefault="0062781A" w:rsidP="0062781A">
      <w:pPr>
        <w:pStyle w:val="Ruller41"/>
        <w:rPr>
          <w:rtl/>
        </w:rPr>
      </w:pPr>
      <w:r w:rsidRPr="00643EF4">
        <w:rPr>
          <w:rFonts w:hint="cs"/>
          <w:rtl/>
        </w:rPr>
        <w:tab/>
        <w:t xml:space="preserve">מסכים אני עם חבריי כי חוק ההסדרה פוגע, לכל הפחות, בזכויות החוקתיות לקניין ולכבוד של בעלי הזכויות במקרקעין שעליהם חל החוק. הסייגים והאיזונים שעליהם עמדו המשיבים </w:t>
      </w:r>
      <w:r w:rsidRPr="00643EF4">
        <w:rPr>
          <w:rtl/>
        </w:rPr>
        <w:t>–</w:t>
      </w:r>
      <w:r w:rsidRPr="00643EF4">
        <w:rPr>
          <w:rFonts w:hint="cs"/>
          <w:rtl/>
        </w:rPr>
        <w:t xml:space="preserve"> החל באופייה ה"ארעי" של נטילת הזכויות ("עד להכרעה מדינית"; סעיף 3(2)(ב) לחוק), וכלה במנגנוני הפיצוי הקבועים בחוק </w:t>
      </w:r>
      <w:r w:rsidRPr="00643EF4">
        <w:rPr>
          <w:rtl/>
        </w:rPr>
        <w:t>–</w:t>
      </w:r>
      <w:r w:rsidRPr="00643EF4">
        <w:rPr>
          <w:rFonts w:hint="cs"/>
          <w:rtl/>
        </w:rPr>
        <w:t xml:space="preserve"> משליכים על עוצמת ומידתיות הפגיעה, אך אין בהם כדי לטשטש את עצם קיומה. </w:t>
      </w:r>
    </w:p>
    <w:p w14:paraId="2D2B0A7D" w14:textId="77777777" w:rsidR="0062781A" w:rsidRPr="00643EF4" w:rsidRDefault="0062781A" w:rsidP="0062781A">
      <w:pPr>
        <w:pStyle w:val="Ruller41"/>
        <w:rPr>
          <w:rtl/>
        </w:rPr>
      </w:pPr>
    </w:p>
    <w:p w14:paraId="673E3453" w14:textId="77777777" w:rsidR="0062781A" w:rsidRPr="00643EF4" w:rsidRDefault="0062781A" w:rsidP="0062781A">
      <w:pPr>
        <w:pStyle w:val="Ruller41"/>
        <w:rPr>
          <w:rFonts w:ascii="Century" w:hAnsi="Century"/>
          <w:rtl/>
        </w:rPr>
      </w:pPr>
      <w:r w:rsidRPr="00643EF4">
        <w:rPr>
          <w:rtl/>
        </w:rPr>
        <w:tab/>
      </w:r>
      <w:r w:rsidRPr="00643EF4">
        <w:rPr>
          <w:rFonts w:hint="cs"/>
          <w:rtl/>
        </w:rPr>
        <w:t xml:space="preserve">לנוכח הקביעה כי חוק ההסדרה פוגע בזכויות יסוד, יש לעבור לשלב השני של הביקורת החוקתית: האם החוק </w:t>
      </w:r>
      <w:r w:rsidRPr="00643EF4">
        <w:rPr>
          <w:rFonts w:ascii="Century" w:hAnsi="Century" w:hint="cs"/>
          <w:rtl/>
        </w:rPr>
        <w:t xml:space="preserve">"הולם את ערכיה של מדינת ישראל" כמדינה יהודית ודמוקרטית, ו"נועד לתכלית ראויה" (סעיף 8 לחוק יסוד: כבוד האדם וחירותו; ראו גם סעיף 1א). הבהרת תכליות החוק חשובה לא רק כשלעצמה, אלא גם להמשך הדיון ביתר שלבי הניתוח החוקתי, ובפרט במסגרת בחינת מידתיות ההסדר. נעמוד אפוא על תכליות החוק. </w:t>
      </w:r>
    </w:p>
    <w:p w14:paraId="586A48F7" w14:textId="77777777" w:rsidR="0062781A" w:rsidRPr="00643EF4" w:rsidRDefault="0062781A" w:rsidP="0062781A">
      <w:pPr>
        <w:pStyle w:val="Ruller41"/>
        <w:rPr>
          <w:rFonts w:ascii="Century" w:hAnsi="Century"/>
          <w:rtl/>
        </w:rPr>
      </w:pPr>
    </w:p>
    <w:p w14:paraId="007E0C64" w14:textId="77777777" w:rsidR="0062781A" w:rsidRPr="00643EF4" w:rsidRDefault="0062781A" w:rsidP="0062781A">
      <w:pPr>
        <w:pStyle w:val="12"/>
        <w:numPr>
          <w:ilvl w:val="0"/>
          <w:numId w:val="11"/>
        </w:numPr>
        <w:tabs>
          <w:tab w:val="clear" w:pos="907"/>
          <w:tab w:val="num" w:pos="1049"/>
        </w:tabs>
      </w:pPr>
      <w:r w:rsidRPr="00643EF4">
        <w:rPr>
          <w:rtl/>
        </w:rPr>
        <w:tab/>
      </w:r>
      <w:r w:rsidRPr="00643EF4">
        <w:rPr>
          <w:rFonts w:hint="cs"/>
          <w:rtl/>
        </w:rPr>
        <w:t xml:space="preserve">הליכי החקיקה של חוק ההסדרה חושפים מארג מקיף ורחב של תכליות, הצולחות </w:t>
      </w:r>
      <w:r w:rsidRPr="00643EF4">
        <w:rPr>
          <w:rtl/>
        </w:rPr>
        <w:t>–</w:t>
      </w:r>
      <w:r w:rsidRPr="00643EF4">
        <w:rPr>
          <w:rFonts w:hint="cs"/>
          <w:rtl/>
        </w:rPr>
        <w:t xml:space="preserve"> כשלעצמן וכמכלול </w:t>
      </w:r>
      <w:r w:rsidRPr="00643EF4">
        <w:rPr>
          <w:rtl/>
        </w:rPr>
        <w:t>–</w:t>
      </w:r>
      <w:r w:rsidRPr="00643EF4">
        <w:rPr>
          <w:rFonts w:hint="cs"/>
          <w:rtl/>
        </w:rPr>
        <w:t xml:space="preserve"> את מבחן התכלית הראויה. אכן, תכלית החקיקה לחוד ואמצעי הגשמתה לחוד. התכלית אינה מתמצה בתיאור טכני של האמצעים שאימץ המחוקק; על הפרשן להרים את המסך, ולבחון מדוע ולשם מה נבחרו אמצעים אלה, ואלו "מטרות ציבוריות חשובות למדינה ולחברה" הם משרתים (ראו, בין השאר, </w:t>
      </w:r>
      <w:r w:rsidRPr="00643EF4">
        <w:rPr>
          <w:rFonts w:hint="eastAsia"/>
          <w:rtl/>
        </w:rPr>
        <w:t>בג</w:t>
      </w:r>
      <w:r w:rsidRPr="00643EF4">
        <w:rPr>
          <w:rtl/>
        </w:rPr>
        <w:t xml:space="preserve">"ץ 1661/05 </w:t>
      </w:r>
      <w:r w:rsidRPr="00643EF4">
        <w:rPr>
          <w:rFonts w:ascii="Century" w:hAnsi="Century" w:cs="Miriam" w:hint="eastAsia"/>
          <w:b/>
          <w:spacing w:val="0"/>
          <w:szCs w:val="24"/>
          <w:rtl/>
        </w:rPr>
        <w:t>המועצה</w:t>
      </w:r>
      <w:r w:rsidRPr="00643EF4">
        <w:rPr>
          <w:rFonts w:ascii="Century" w:hAnsi="Century" w:cs="Miriam"/>
          <w:b/>
          <w:spacing w:val="0"/>
          <w:szCs w:val="24"/>
          <w:rtl/>
        </w:rPr>
        <w:t xml:space="preserve"> </w:t>
      </w:r>
      <w:r w:rsidRPr="00643EF4">
        <w:rPr>
          <w:rFonts w:ascii="Century" w:hAnsi="Century" w:cs="Miriam" w:hint="eastAsia"/>
          <w:b/>
          <w:spacing w:val="0"/>
          <w:szCs w:val="24"/>
          <w:rtl/>
        </w:rPr>
        <w:t>האזורית</w:t>
      </w:r>
      <w:r w:rsidRPr="00643EF4">
        <w:rPr>
          <w:rFonts w:ascii="Century" w:hAnsi="Century" w:cs="Miriam"/>
          <w:b/>
          <w:spacing w:val="0"/>
          <w:szCs w:val="24"/>
          <w:rtl/>
        </w:rPr>
        <w:t xml:space="preserve"> </w:t>
      </w:r>
      <w:r w:rsidRPr="00643EF4">
        <w:rPr>
          <w:rFonts w:ascii="Century" w:hAnsi="Century" w:cs="Miriam" w:hint="eastAsia"/>
          <w:b/>
          <w:spacing w:val="0"/>
          <w:szCs w:val="24"/>
          <w:rtl/>
        </w:rPr>
        <w:t>חוף</w:t>
      </w:r>
      <w:r w:rsidRPr="00643EF4">
        <w:rPr>
          <w:rFonts w:ascii="Century" w:hAnsi="Century" w:cs="Miriam"/>
          <w:b/>
          <w:spacing w:val="0"/>
          <w:szCs w:val="24"/>
          <w:rtl/>
        </w:rPr>
        <w:t xml:space="preserve"> </w:t>
      </w:r>
      <w:r w:rsidRPr="00643EF4">
        <w:rPr>
          <w:rFonts w:ascii="Century" w:hAnsi="Century" w:cs="Miriam" w:hint="eastAsia"/>
          <w:b/>
          <w:spacing w:val="0"/>
          <w:szCs w:val="24"/>
          <w:rtl/>
        </w:rPr>
        <w:t>עזה</w:t>
      </w:r>
      <w:r w:rsidRPr="00643EF4">
        <w:rPr>
          <w:rFonts w:ascii="Century" w:hAnsi="Century" w:cs="Miriam"/>
          <w:b/>
          <w:spacing w:val="0"/>
          <w:szCs w:val="24"/>
          <w:rtl/>
        </w:rPr>
        <w:t xml:space="preserve"> </w:t>
      </w:r>
      <w:r w:rsidRPr="00643EF4">
        <w:rPr>
          <w:rFonts w:ascii="Century" w:hAnsi="Century" w:cs="Miriam" w:hint="eastAsia"/>
          <w:b/>
          <w:spacing w:val="0"/>
          <w:szCs w:val="24"/>
          <w:rtl/>
        </w:rPr>
        <w:t>נ</w:t>
      </w:r>
      <w:r w:rsidRPr="00643EF4">
        <w:rPr>
          <w:rFonts w:ascii="Century" w:hAnsi="Century" w:cs="Miriam"/>
          <w:b/>
          <w:spacing w:val="0"/>
          <w:szCs w:val="24"/>
          <w:rtl/>
        </w:rPr>
        <w:t xml:space="preserve">' </w:t>
      </w:r>
      <w:r w:rsidRPr="00643EF4">
        <w:rPr>
          <w:rFonts w:ascii="Century" w:hAnsi="Century" w:cs="Miriam" w:hint="eastAsia"/>
          <w:b/>
          <w:spacing w:val="0"/>
          <w:szCs w:val="24"/>
          <w:rtl/>
        </w:rPr>
        <w:t>כנסת</w:t>
      </w:r>
      <w:r w:rsidRPr="00643EF4">
        <w:rPr>
          <w:rFonts w:ascii="Century" w:hAnsi="Century" w:cs="Miriam"/>
          <w:b/>
          <w:spacing w:val="0"/>
          <w:szCs w:val="24"/>
          <w:rtl/>
        </w:rPr>
        <w:t xml:space="preserve"> </w:t>
      </w:r>
      <w:r w:rsidRPr="00643EF4">
        <w:rPr>
          <w:rFonts w:ascii="Century" w:hAnsi="Century" w:cs="Miriam" w:hint="eastAsia"/>
          <w:b/>
          <w:spacing w:val="0"/>
          <w:szCs w:val="24"/>
          <w:rtl/>
        </w:rPr>
        <w:t>ישראל</w:t>
      </w:r>
      <w:r w:rsidRPr="00643EF4">
        <w:rPr>
          <w:rtl/>
        </w:rPr>
        <w:t xml:space="preserve">, פ"ד נט(2) 481, </w:t>
      </w:r>
      <w:r w:rsidRPr="00643EF4">
        <w:rPr>
          <w:rFonts w:hint="cs"/>
          <w:rtl/>
        </w:rPr>
        <w:t>548</w:t>
      </w:r>
      <w:r w:rsidRPr="00643EF4">
        <w:rPr>
          <w:rtl/>
        </w:rPr>
        <w:t xml:space="preserve"> </w:t>
      </w:r>
      <w:r w:rsidRPr="00643EF4">
        <w:rPr>
          <w:rFonts w:hint="cs"/>
          <w:rtl/>
        </w:rPr>
        <w:t xml:space="preserve">-547 </w:t>
      </w:r>
      <w:r w:rsidRPr="00643EF4">
        <w:rPr>
          <w:rtl/>
        </w:rPr>
        <w:t xml:space="preserve">(2005) (להלן: </w:t>
      </w:r>
      <w:r w:rsidRPr="00643EF4">
        <w:rPr>
          <w:rFonts w:ascii="Century" w:hAnsi="Century" w:hint="eastAsia"/>
          <w:rtl/>
        </w:rPr>
        <w:t>עניין</w:t>
      </w:r>
      <w:r w:rsidRPr="00643EF4">
        <w:rPr>
          <w:rFonts w:ascii="Century" w:hAnsi="Century" w:cs="Miriam"/>
          <w:b/>
          <w:spacing w:val="0"/>
          <w:szCs w:val="24"/>
          <w:rtl/>
        </w:rPr>
        <w:t xml:space="preserve"> </w:t>
      </w:r>
      <w:r w:rsidRPr="00643EF4">
        <w:rPr>
          <w:rFonts w:ascii="Century" w:hAnsi="Century" w:cs="Miriam" w:hint="eastAsia"/>
          <w:b/>
          <w:spacing w:val="0"/>
          <w:szCs w:val="24"/>
          <w:rtl/>
        </w:rPr>
        <w:t>ההתנתקות</w:t>
      </w:r>
      <w:r w:rsidRPr="00643EF4">
        <w:rPr>
          <w:rtl/>
        </w:rPr>
        <w:t>)</w:t>
      </w:r>
      <w:r w:rsidRPr="00643EF4">
        <w:rPr>
          <w:rFonts w:hint="cs"/>
          <w:rtl/>
        </w:rPr>
        <w:t xml:space="preserve">, </w:t>
      </w:r>
      <w:r w:rsidRPr="00643EF4">
        <w:rPr>
          <w:rFonts w:hint="cs"/>
          <w:sz w:val="28"/>
          <w:rtl/>
        </w:rPr>
        <w:t xml:space="preserve">בג"ץ 6427/06 </w:t>
      </w:r>
      <w:r w:rsidRPr="00643EF4">
        <w:rPr>
          <w:rFonts w:ascii="Century" w:hAnsi="Century" w:cs="Miriam" w:hint="cs"/>
          <w:b/>
          <w:spacing w:val="0"/>
          <w:szCs w:val="24"/>
          <w:rtl/>
        </w:rPr>
        <w:t>התנועה לאיכות השלטון בישראל נ' הכנסת</w:t>
      </w:r>
      <w:r w:rsidRPr="00643EF4">
        <w:rPr>
          <w:rFonts w:hint="cs"/>
          <w:sz w:val="28"/>
          <w:rtl/>
        </w:rPr>
        <w:t xml:space="preserve">, פ"ד סא(1) 619, פסקה 52 לחוות דעת הנשיא א' ברק (2006) (להלן: עניין </w:t>
      </w:r>
      <w:r w:rsidRPr="00643EF4">
        <w:rPr>
          <w:rFonts w:ascii="Century" w:hAnsi="Century" w:cs="Miriam" w:hint="cs"/>
          <w:b/>
          <w:spacing w:val="0"/>
          <w:szCs w:val="24"/>
          <w:rtl/>
        </w:rPr>
        <w:t>התנועה לאיכות השלטון</w:t>
      </w:r>
      <w:r w:rsidRPr="00643EF4">
        <w:rPr>
          <w:rFonts w:hint="cs"/>
          <w:rtl/>
        </w:rPr>
        <w:t xml:space="preserve">)). </w:t>
      </w:r>
    </w:p>
    <w:p w14:paraId="7EAE17F0" w14:textId="77777777" w:rsidR="0062781A" w:rsidRPr="00643EF4" w:rsidRDefault="0062781A" w:rsidP="0062781A">
      <w:pPr>
        <w:pStyle w:val="Ruller41"/>
        <w:rPr>
          <w:rFonts w:ascii="Century" w:hAnsi="Century"/>
          <w:rtl/>
        </w:rPr>
      </w:pPr>
    </w:p>
    <w:p w14:paraId="77D95A8E" w14:textId="77777777" w:rsidR="0062781A" w:rsidRPr="00643EF4" w:rsidRDefault="0062781A" w:rsidP="0062781A">
      <w:pPr>
        <w:pStyle w:val="Ruller41"/>
        <w:rPr>
          <w:rtl/>
        </w:rPr>
      </w:pPr>
      <w:r w:rsidRPr="00643EF4">
        <w:rPr>
          <w:rtl/>
        </w:rPr>
        <w:tab/>
      </w:r>
      <w:r w:rsidRPr="00643EF4">
        <w:rPr>
          <w:rFonts w:hint="cs"/>
          <w:rtl/>
        </w:rPr>
        <w:t xml:space="preserve">בחינת מטרותיו של חוק ההסדרה מלמדת כי לצד התכלית ה"אנושית" </w:t>
      </w:r>
      <w:r w:rsidRPr="00643EF4">
        <w:rPr>
          <w:rtl/>
        </w:rPr>
        <w:t>–</w:t>
      </w:r>
      <w:r w:rsidRPr="00643EF4">
        <w:rPr>
          <w:rFonts w:hint="cs"/>
          <w:rtl/>
        </w:rPr>
        <w:t xml:space="preserve"> מניעת הריסה ופינוי של אלפי המבנים המועמדים להסדרה </w:t>
      </w:r>
      <w:r w:rsidRPr="00643EF4">
        <w:rPr>
          <w:rtl/>
        </w:rPr>
        <w:t>–</w:t>
      </w:r>
      <w:r w:rsidRPr="00643EF4">
        <w:rPr>
          <w:rFonts w:hint="cs"/>
          <w:rtl/>
        </w:rPr>
        <w:t xml:space="preserve"> החוק מבקש לקדם תכלית מדינית לאומית, של חיזוק האחיזה הישראלית באזור (או, בניסוח של נציגי הממשלה בהליך </w:t>
      </w:r>
      <w:r w:rsidRPr="00643EF4">
        <w:rPr>
          <w:rFonts w:hint="cs"/>
          <w:rtl/>
        </w:rPr>
        <w:lastRenderedPageBreak/>
        <w:t xml:space="preserve">דנן, "מניעת פינוי התיישבות ישראלית שלא במסגרת הסכם מדיני"). כפי שציין ח"כ סמוטריץ', שהיה מיוזמי הצעת החוק, ערב אישורו בקריאה שנייה ושלישית </w:t>
      </w:r>
      <w:r w:rsidRPr="00643EF4">
        <w:rPr>
          <w:rtl/>
        </w:rPr>
        <w:t>–</w:t>
      </w:r>
      <w:r w:rsidRPr="00643EF4">
        <w:rPr>
          <w:rFonts w:hint="cs"/>
          <w:rtl/>
        </w:rPr>
        <w:t xml:space="preserve"> </w:t>
      </w:r>
    </w:p>
    <w:p w14:paraId="6873F571" w14:textId="77777777" w:rsidR="0062781A" w:rsidRPr="00643EF4" w:rsidRDefault="0062781A" w:rsidP="0062781A">
      <w:pPr>
        <w:pStyle w:val="Ruller41"/>
        <w:rPr>
          <w:rtl/>
        </w:rPr>
      </w:pPr>
    </w:p>
    <w:p w14:paraId="439BD3A1" w14:textId="77777777" w:rsidR="0062781A" w:rsidRPr="00643EF4" w:rsidRDefault="0062781A" w:rsidP="0062781A">
      <w:pPr>
        <w:pStyle w:val="Ruller5"/>
        <w:rPr>
          <w:rtl/>
        </w:rPr>
      </w:pPr>
      <w:r w:rsidRPr="00643EF4">
        <w:rPr>
          <w:rFonts w:hint="cs"/>
          <w:rtl/>
        </w:rPr>
        <w:t xml:space="preserve">"התכלית של החוק הזה, כידוע, וזה נאמר פה לא פעם </w:t>
      </w:r>
      <w:r w:rsidRPr="00643EF4">
        <w:rPr>
          <w:rtl/>
        </w:rPr>
        <w:t>–</w:t>
      </w:r>
      <w:r w:rsidRPr="00643EF4">
        <w:rPr>
          <w:rFonts w:hint="cs"/>
          <w:rtl/>
        </w:rPr>
        <w:t xml:space="preserve"> גם כאן וגם בוועדות </w:t>
      </w:r>
      <w:r w:rsidRPr="00643EF4">
        <w:rPr>
          <w:rtl/>
        </w:rPr>
        <w:t>–</w:t>
      </w:r>
      <w:r w:rsidRPr="00643EF4">
        <w:rPr>
          <w:rFonts w:hint="cs"/>
          <w:rtl/>
        </w:rPr>
        <w:t xml:space="preserve"> גם תכלית התיישבותית, ציונית. אנחנו רואים בפיתוח ההתיישבות הציונית החלוצית בכל מרחבי ארץ-ישראל ערך אדיר שתואם מאוד מאוד את ערכיה של מדינת ישראל" (פרוטוקול ישיבה מס' 201 של הכנסת ה-20, 42 (6.2.2017) (להלן: </w:t>
      </w:r>
      <w:r w:rsidRPr="00643EF4">
        <w:rPr>
          <w:rFonts w:ascii="Century" w:hAnsi="Century" w:cs="Miriam" w:hint="cs"/>
          <w:b/>
          <w:spacing w:val="0"/>
          <w:szCs w:val="24"/>
          <w:rtl/>
        </w:rPr>
        <w:t>פרוטוקול 201</w:t>
      </w:r>
      <w:r w:rsidRPr="00643EF4">
        <w:rPr>
          <w:rFonts w:hint="cs"/>
          <w:rtl/>
        </w:rPr>
        <w:t>)).</w:t>
      </w:r>
    </w:p>
    <w:p w14:paraId="4C12B0B0" w14:textId="77777777" w:rsidR="0062781A" w:rsidRPr="00643EF4" w:rsidRDefault="0062781A" w:rsidP="0062781A">
      <w:pPr>
        <w:pStyle w:val="Ruller5"/>
        <w:rPr>
          <w:rtl/>
        </w:rPr>
      </w:pPr>
    </w:p>
    <w:p w14:paraId="04112AAE" w14:textId="77777777" w:rsidR="0062781A" w:rsidRPr="00643EF4" w:rsidRDefault="0062781A" w:rsidP="0062781A">
      <w:pPr>
        <w:pStyle w:val="Ruller41"/>
        <w:rPr>
          <w:rtl/>
        </w:rPr>
      </w:pPr>
      <w:r w:rsidRPr="00643EF4">
        <w:rPr>
          <w:rFonts w:hint="cs"/>
          <w:rtl/>
        </w:rPr>
        <w:t xml:space="preserve">הנה כי כן, אחת התכליות שהועלו בהליך החקיקה, ועולה גם מהחוק עצמו, חורגת מהאינטרס הציבורי ה"סטנדרטי" בפיתוח, הקמת והסדרת תשתיות ויישובים חדשים בתוך שטחה הריבוני של המדינה. דווקא על רקע המחלוקת הציבורית הנוקבת, והמורכבות המשפטית והמדינית באשר לעתיד האזור וההתיישבות הישראלית בו, המחוקק בחר לבצר את האחיזה הישראלית במקום, בה הוא רואה הגשמה של ערכי יסוד יהודיים וציוניים. </w:t>
      </w:r>
    </w:p>
    <w:p w14:paraId="219F076A" w14:textId="77777777" w:rsidR="0062781A" w:rsidRPr="00643EF4" w:rsidRDefault="0062781A" w:rsidP="0062781A">
      <w:pPr>
        <w:pStyle w:val="Ruller41"/>
        <w:rPr>
          <w:rtl/>
        </w:rPr>
      </w:pPr>
    </w:p>
    <w:p w14:paraId="6CEC3BCE" w14:textId="77777777" w:rsidR="0062781A" w:rsidRPr="00643EF4" w:rsidRDefault="0062781A" w:rsidP="0062781A">
      <w:pPr>
        <w:pStyle w:val="Ruller41"/>
        <w:rPr>
          <w:rFonts w:ascii="Century" w:hAnsi="Century"/>
          <w:rtl/>
        </w:rPr>
      </w:pPr>
      <w:r w:rsidRPr="00643EF4">
        <w:rPr>
          <w:rtl/>
        </w:rPr>
        <w:tab/>
      </w:r>
      <w:r w:rsidRPr="00643EF4">
        <w:rPr>
          <w:rFonts w:hint="cs"/>
          <w:rtl/>
        </w:rPr>
        <w:t>בנוסף לכך, מהחוק עולה תכלית נוספת, שניתן לכנותה "הסדרתית", ועניינה מתן מעמד משפטי מתאים למבנים שנבנו שלא כדין, ויושביהם מצויים כיום בחוסר ודאות משפטית ביחס למעמדם. במובן זה, חוק ההסדרה כשמו כן הוא. מטרתו להסיר את עננת הספק המשפטי מעל מעמדם של מבנים שונים, תוך יצירת אמות מידה המבחינות בין מבנים שיוסדרו לכאלה שחוק ההסדרה לא יחול עליהם</w:t>
      </w:r>
      <w:r w:rsidRPr="00643EF4">
        <w:rPr>
          <w:rFonts w:ascii="Century" w:hAnsi="Century" w:hint="cs"/>
          <w:rtl/>
        </w:rPr>
        <w:t xml:space="preserve">. </w:t>
      </w:r>
    </w:p>
    <w:p w14:paraId="3DBF46EC" w14:textId="77777777" w:rsidR="0062781A" w:rsidRPr="00643EF4" w:rsidRDefault="0062781A" w:rsidP="0062781A">
      <w:pPr>
        <w:pStyle w:val="Ruller41"/>
        <w:rPr>
          <w:rtl/>
        </w:rPr>
      </w:pPr>
    </w:p>
    <w:p w14:paraId="6E109397" w14:textId="77777777" w:rsidR="0062781A" w:rsidRPr="00643EF4" w:rsidRDefault="0062781A" w:rsidP="0062781A">
      <w:pPr>
        <w:pStyle w:val="12"/>
        <w:numPr>
          <w:ilvl w:val="0"/>
          <w:numId w:val="11"/>
        </w:numPr>
        <w:tabs>
          <w:tab w:val="clear" w:pos="907"/>
          <w:tab w:val="num" w:pos="1049"/>
        </w:tabs>
        <w:rPr>
          <w:rtl/>
        </w:rPr>
      </w:pPr>
      <w:r w:rsidRPr="00643EF4">
        <w:rPr>
          <w:rFonts w:hint="cs"/>
          <w:rtl/>
        </w:rPr>
        <w:t xml:space="preserve">האם תכליות אלה עומדות במבחן התכלית הראויה, לחוד ולמצער כמכלול (ראו והשוו, עניין </w:t>
      </w:r>
      <w:r w:rsidRPr="00643EF4">
        <w:rPr>
          <w:rFonts w:cs="Miriam" w:hint="cs"/>
          <w:b/>
          <w:spacing w:val="0"/>
          <w:szCs w:val="24"/>
          <w:rtl/>
        </w:rPr>
        <w:t>התנועה לאיכות השלטון</w:t>
      </w:r>
      <w:r w:rsidRPr="00643EF4">
        <w:rPr>
          <w:rFonts w:hint="cs"/>
          <w:rtl/>
        </w:rPr>
        <w:t xml:space="preserve">, פסקה 57 לחוות דעתו של הנשיא ברק, ובג"ץ 1877/14 </w:t>
      </w:r>
      <w:r w:rsidRPr="00643EF4">
        <w:rPr>
          <w:rFonts w:cs="Miriam" w:hint="cs"/>
          <w:b/>
          <w:spacing w:val="0"/>
          <w:szCs w:val="24"/>
          <w:rtl/>
        </w:rPr>
        <w:t>התנועה למען איכות השלטון בישראל נ' הכנסת</w:t>
      </w:r>
      <w:r w:rsidRPr="00643EF4">
        <w:rPr>
          <w:rFonts w:hint="cs"/>
          <w:rtl/>
        </w:rPr>
        <w:t xml:space="preserve">, פסקה 28 לחוות דעתו של השופט סולברג (12.9.2017))? אין קושי להשיב לכך בחיוב ביחס לתכלית ה"אנושית" ולטעמי גם התכלית המדינית-לאומית של חיזוק האחיזה הישראלית באזור צולחת את מבחן התכלית הראויה. יפים לענייננו נימוקיו של בית משפט זה בעניין </w:t>
      </w:r>
      <w:r w:rsidRPr="00643EF4">
        <w:rPr>
          <w:rStyle w:val="Heading1Char"/>
          <w:rFonts w:ascii="Century" w:hAnsi="Century" w:cs="Miriam" w:hint="cs"/>
          <w:bCs w:val="0"/>
          <w:spacing w:val="0"/>
          <w:kern w:val="0"/>
          <w:sz w:val="22"/>
          <w:szCs w:val="24"/>
          <w:rtl/>
        </w:rPr>
        <w:t>ההתנתקות</w:t>
      </w:r>
      <w:r w:rsidRPr="00643EF4">
        <w:rPr>
          <w:rFonts w:hint="cs"/>
          <w:rtl/>
        </w:rPr>
        <w:t xml:space="preserve">, שעסק דווקא בפינוי ישראלים מבתיהם במסגרת ההתנתקות מחבל עזה. אכן, גם בענייננו </w:t>
      </w:r>
      <w:r w:rsidRPr="00643EF4">
        <w:rPr>
          <w:rtl/>
        </w:rPr>
        <w:t>–</w:t>
      </w:r>
      <w:r w:rsidRPr="00643EF4">
        <w:rPr>
          <w:rFonts w:hint="cs"/>
          <w:rtl/>
        </w:rPr>
        <w:t xml:space="preserve">  </w:t>
      </w:r>
    </w:p>
    <w:p w14:paraId="0CFAE91E" w14:textId="77777777" w:rsidR="0062781A" w:rsidRPr="00643EF4" w:rsidRDefault="0062781A" w:rsidP="0062781A">
      <w:pPr>
        <w:pStyle w:val="Ruller41"/>
        <w:rPr>
          <w:rtl/>
        </w:rPr>
      </w:pPr>
    </w:p>
    <w:p w14:paraId="10CDCEB0" w14:textId="77777777" w:rsidR="0062781A" w:rsidRPr="00643EF4" w:rsidRDefault="0062781A" w:rsidP="0062781A">
      <w:pPr>
        <w:pStyle w:val="Ruller5"/>
        <w:rPr>
          <w:rtl/>
        </w:rPr>
      </w:pPr>
      <w:r w:rsidRPr="00643EF4">
        <w:rPr>
          <w:rFonts w:hint="cs"/>
          <w:rtl/>
        </w:rPr>
        <w:t>"השאלה הינה זו: האם התכליות המונחות ביסוד חוק יישום ההתנתקות הן תכליות ראויות לעניין פיסקת ההגבלה? השאלה היא אפוא אם התכליות של חוק יישום ההתנתקות נועדו להגשים צורך חברתי חיוני מספיק דיו כדי להצדיק פגיעה קשה בזכויות האדם (בעיקר כבוד האדם והקניין) של הישראלים המפונים.</w:t>
      </w:r>
    </w:p>
    <w:p w14:paraId="427EDE8C" w14:textId="77777777" w:rsidR="0062781A" w:rsidRPr="00643EF4" w:rsidRDefault="0062781A" w:rsidP="0062781A">
      <w:pPr>
        <w:pStyle w:val="Ruller5"/>
        <w:rPr>
          <w:rtl/>
        </w:rPr>
      </w:pPr>
      <w:r w:rsidRPr="00643EF4">
        <w:rPr>
          <w:rFonts w:hint="cs"/>
          <w:rtl/>
        </w:rPr>
        <w:t>[...]</w:t>
      </w:r>
      <w:r w:rsidRPr="00643EF4">
        <w:rPr>
          <w:rFonts w:hint="cs"/>
          <w:rtl/>
        </w:rPr>
        <w:tab/>
        <w:t xml:space="preserve">תשובתנו על שאלה זו היא בחיוב. התכליות המדיניות, הלאומיות והביטחוניות שעליהן מבוססת תכנית ההתנתקות הן כבדות משקל. הן נועדו להגשים מה שנראה לכנסת ולממשלה כצורך חברתי חיוני ומהותי שיש בו, אם אמנם יתממש, כדי להצדיק פגיעה בזכויות </w:t>
      </w:r>
      <w:r w:rsidRPr="00643EF4">
        <w:rPr>
          <w:rFonts w:hint="cs"/>
          <w:rtl/>
        </w:rPr>
        <w:lastRenderedPageBreak/>
        <w:t>האדם של הישראלים המפונים. אכן, השגת שלום, ביטחון, הכרה בין</w:t>
      </w:r>
      <w:r w:rsidRPr="00643EF4">
        <w:rPr>
          <w:rFonts w:hint="cs"/>
          <w:position w:val="4"/>
          <w:rtl/>
        </w:rPr>
        <w:t>-</w:t>
      </w:r>
      <w:r w:rsidRPr="00643EF4">
        <w:rPr>
          <w:rFonts w:hint="cs"/>
          <w:rtl/>
        </w:rPr>
        <w:t xml:space="preserve">לאומית וכיוצא באלה הישגים שמונחים ביסוד תכליתו של חוק יישום ההתנתקות הם ביסוד הקיום הלאומי" (עניין </w:t>
      </w:r>
      <w:r w:rsidRPr="00643EF4">
        <w:rPr>
          <w:rFonts w:ascii="Century" w:hAnsi="Century" w:cs="Miriam" w:hint="cs"/>
          <w:b/>
          <w:spacing w:val="0"/>
          <w:szCs w:val="24"/>
          <w:rtl/>
        </w:rPr>
        <w:t>ההתנתקות</w:t>
      </w:r>
      <w:r w:rsidRPr="00643EF4">
        <w:rPr>
          <w:rFonts w:hint="cs"/>
          <w:rtl/>
        </w:rPr>
        <w:t>, עמוד 570).</w:t>
      </w:r>
    </w:p>
    <w:p w14:paraId="182C8BEF" w14:textId="77777777" w:rsidR="0062781A" w:rsidRPr="00643EF4" w:rsidRDefault="0062781A" w:rsidP="0062781A">
      <w:pPr>
        <w:pStyle w:val="Ruller41"/>
        <w:rPr>
          <w:rtl/>
        </w:rPr>
      </w:pPr>
    </w:p>
    <w:p w14:paraId="000118F5" w14:textId="77777777" w:rsidR="0062781A" w:rsidRPr="00643EF4" w:rsidRDefault="0062781A" w:rsidP="0062781A">
      <w:pPr>
        <w:pStyle w:val="Ruller41"/>
        <w:rPr>
          <w:rtl/>
        </w:rPr>
      </w:pPr>
      <w:r w:rsidRPr="00643EF4">
        <w:rPr>
          <w:rFonts w:hint="cs"/>
          <w:rtl/>
        </w:rPr>
        <w:t xml:space="preserve">בדומה לתכליות תכנית ההתנתקות, גם מטרתו הלאומית והמדינית של חוק ההסדרה שנויה במחלוקת ציבורית נוקבת. אין מקום כי בית משפט זה יכריע במחלוקת ציבורית זו, ויקבע כי הפתרון שבו דוגל מחנה פוליטי מסוים </w:t>
      </w:r>
      <w:r w:rsidRPr="00643EF4">
        <w:rPr>
          <w:rtl/>
        </w:rPr>
        <w:t>–</w:t>
      </w:r>
      <w:r w:rsidRPr="00643EF4">
        <w:rPr>
          <w:rFonts w:hint="cs"/>
          <w:rtl/>
        </w:rPr>
        <w:t xml:space="preserve"> ואשר אומץ בחוק ההסדרה </w:t>
      </w:r>
      <w:r w:rsidRPr="00643EF4">
        <w:rPr>
          <w:rtl/>
        </w:rPr>
        <w:t>–</w:t>
      </w:r>
      <w:r w:rsidRPr="00643EF4">
        <w:rPr>
          <w:rFonts w:hint="cs"/>
          <w:rtl/>
        </w:rPr>
        <w:t xml:space="preserve"> אינו משרת את האינטרס הישראלי. </w:t>
      </w:r>
    </w:p>
    <w:p w14:paraId="45272D45" w14:textId="77777777" w:rsidR="0062781A" w:rsidRPr="00643EF4" w:rsidRDefault="0062781A" w:rsidP="0062781A">
      <w:pPr>
        <w:pStyle w:val="Ruller41"/>
        <w:rPr>
          <w:rtl/>
        </w:rPr>
      </w:pPr>
    </w:p>
    <w:p w14:paraId="0B0087BD" w14:textId="77777777" w:rsidR="0062781A" w:rsidRPr="00643EF4" w:rsidRDefault="0062781A" w:rsidP="0062781A">
      <w:pPr>
        <w:pStyle w:val="Ruller41"/>
        <w:rPr>
          <w:rtl/>
        </w:rPr>
      </w:pPr>
      <w:r w:rsidRPr="00643EF4">
        <w:rPr>
          <w:rtl/>
        </w:rPr>
        <w:tab/>
      </w:r>
      <w:r w:rsidRPr="00643EF4">
        <w:rPr>
          <w:rFonts w:hint="cs"/>
          <w:rtl/>
        </w:rPr>
        <w:t xml:space="preserve">ענייננו אינו רק בהכרעת התחרות בין פרטים </w:t>
      </w:r>
      <w:r w:rsidRPr="00643EF4">
        <w:rPr>
          <w:rtl/>
        </w:rPr>
        <w:t>–</w:t>
      </w:r>
      <w:r w:rsidRPr="00643EF4">
        <w:rPr>
          <w:rFonts w:hint="cs"/>
          <w:rtl/>
        </w:rPr>
        <w:t xml:space="preserve"> המתיישב שבנה את ביתו מול בעל המקרקעין </w:t>
      </w:r>
      <w:r w:rsidRPr="00643EF4">
        <w:rPr>
          <w:rtl/>
        </w:rPr>
        <w:t>–</w:t>
      </w:r>
      <w:r w:rsidRPr="00643EF4">
        <w:rPr>
          <w:rFonts w:hint="cs"/>
          <w:rtl/>
        </w:rPr>
        <w:t xml:space="preserve"> ואף לא בהפקעה "שגרתית" שנועדה לשרת אינטרס ציבורי נקודתי בפיתוח תשתיות כאלה ואחרות. מדובר בהסדר ייחודי, </w:t>
      </w:r>
      <w:r w:rsidRPr="00643EF4">
        <w:rPr>
          <w:rStyle w:val="a5"/>
        </w:rPr>
        <w:t>sui generis</w:t>
      </w:r>
      <w:r w:rsidRPr="00643EF4">
        <w:rPr>
          <w:rFonts w:hint="cs"/>
          <w:i/>
          <w:iCs/>
          <w:rtl/>
        </w:rPr>
        <w:t xml:space="preserve"> </w:t>
      </w:r>
      <w:r w:rsidRPr="00643EF4">
        <w:rPr>
          <w:rFonts w:hint="cs"/>
          <w:rtl/>
        </w:rPr>
        <w:t xml:space="preserve">של ממש, המבקש לקדם הכרעה באחד מן הנושאים המרכזיים העומדים על סדר יומה של החברה הישראלית מאז כניסת צה"ל לאזור בשנת 1967. להסדרה זו השלכות רבות, החורגות מעניינם הפרטי של בעלי הבתים המועמדים להסדרה או בעלי הזכויות במקרקעין שעליהם הוקמו. </w:t>
      </w:r>
    </w:p>
    <w:p w14:paraId="2E640C91" w14:textId="77777777" w:rsidR="0062781A" w:rsidRPr="00643EF4" w:rsidRDefault="0062781A" w:rsidP="0062781A">
      <w:pPr>
        <w:pStyle w:val="Ruller41"/>
        <w:rPr>
          <w:rtl/>
        </w:rPr>
      </w:pPr>
    </w:p>
    <w:p w14:paraId="4F42E546" w14:textId="77777777" w:rsidR="0062781A" w:rsidRPr="00643EF4" w:rsidRDefault="0062781A" w:rsidP="0062781A">
      <w:pPr>
        <w:pStyle w:val="Ruller41"/>
        <w:rPr>
          <w:rtl/>
        </w:rPr>
      </w:pPr>
      <w:r w:rsidRPr="00643EF4">
        <w:rPr>
          <w:rtl/>
        </w:rPr>
        <w:tab/>
      </w:r>
      <w:r w:rsidRPr="00643EF4">
        <w:rPr>
          <w:rFonts w:hint="cs"/>
          <w:rtl/>
        </w:rPr>
        <w:t xml:space="preserve">לכך אוסיף כי גם התכלית ה"הסדרתית" ראויה היא. אין ספק כי מצב שבו מתיישבים אינם יודעים האם בתיהם מיועדים להריסה אם להכשרה אינו מצב רצוי. </w:t>
      </w:r>
    </w:p>
    <w:p w14:paraId="54629D06" w14:textId="77777777" w:rsidR="0062781A" w:rsidRPr="00643EF4" w:rsidRDefault="0062781A" w:rsidP="0062781A">
      <w:pPr>
        <w:pStyle w:val="Ruller41"/>
        <w:rPr>
          <w:rtl/>
        </w:rPr>
      </w:pPr>
    </w:p>
    <w:p w14:paraId="662ECCEA" w14:textId="77777777" w:rsidR="0062781A" w:rsidRPr="00643EF4" w:rsidRDefault="0062781A" w:rsidP="0062781A">
      <w:pPr>
        <w:pStyle w:val="Ruller41"/>
        <w:rPr>
          <w:rFonts w:ascii="Century" w:hAnsi="Century"/>
          <w:rtl/>
        </w:rPr>
      </w:pPr>
      <w:r w:rsidRPr="00643EF4">
        <w:rPr>
          <w:rtl/>
        </w:rPr>
        <w:tab/>
      </w:r>
      <w:r w:rsidRPr="00643EF4">
        <w:rPr>
          <w:rFonts w:hint="cs"/>
          <w:rtl/>
        </w:rPr>
        <w:t>הנה כי כן, ניתן להבחין בין שלוש תכליות שונות. האחת, הגשמת מדיניות הממשלה ביחס לאיזור ההתיישבות. שנייה, הסדרת המצב המשפטי. שלישית, הגורם האנושי. יושם אל לב כי כל תכלית עומדת בפני עצמה. לאמור, אל לבית משפט זה לשלול את התכלית הראשונה, שהיא פרי מדיניות ציבורית. אשר לתכלית השניי</w:t>
      </w:r>
      <w:r w:rsidRPr="00643EF4">
        <w:rPr>
          <w:rFonts w:hint="eastAsia"/>
          <w:rtl/>
        </w:rPr>
        <w:t>ה</w:t>
      </w:r>
      <w:r w:rsidRPr="00643EF4">
        <w:rPr>
          <w:rFonts w:hint="cs"/>
          <w:rtl/>
        </w:rPr>
        <w:t>, טוב כי העניין יוסדר ולא יישאר בו מעין תוהו ובוהו משפטי לגבי הזכויות, ללא קשר לעמדה המדויקת של מדיניות הממשלה. התכלית האנושי</w:t>
      </w:r>
      <w:r w:rsidRPr="00643EF4">
        <w:rPr>
          <w:rFonts w:hint="eastAsia"/>
          <w:rtl/>
        </w:rPr>
        <w:t>ת</w:t>
      </w:r>
      <w:r w:rsidRPr="00643EF4">
        <w:rPr>
          <w:rFonts w:hint="cs"/>
          <w:rtl/>
        </w:rPr>
        <w:t>, השלישית, זורקת אור על רגישות המצב שבו אדם עלול לאבד בית ש</w:t>
      </w:r>
      <w:r w:rsidRPr="00643EF4">
        <w:rPr>
          <w:rFonts w:ascii="FrankRuehl" w:hAnsi="FrankRuehl"/>
          <w:rtl/>
        </w:rPr>
        <w:t xml:space="preserve">בנה </w:t>
      </w:r>
      <w:r w:rsidRPr="00643EF4">
        <w:rPr>
          <w:rFonts w:ascii="FrankRuehl" w:hAnsi="FrankRuehl" w:hint="cs"/>
          <w:rtl/>
        </w:rPr>
        <w:t>"</w:t>
      </w:r>
      <w:r w:rsidRPr="00643EF4">
        <w:rPr>
          <w:rFonts w:ascii="FrankRuehl" w:hAnsi="FrankRuehl"/>
          <w:rtl/>
        </w:rPr>
        <w:t>בעמל, ביזע ובממון רב</w:t>
      </w:r>
      <w:r w:rsidRPr="00643EF4">
        <w:rPr>
          <w:rFonts w:hint="cs"/>
          <w:rtl/>
        </w:rPr>
        <w:t xml:space="preserve">", חברה, קהילה ועבר (ראו עניין </w:t>
      </w:r>
      <w:r w:rsidRPr="00643EF4">
        <w:rPr>
          <w:rStyle w:val="Heading1Char"/>
          <w:rFonts w:ascii="Century" w:hAnsi="Century" w:cs="Miriam" w:hint="cs"/>
          <w:bCs w:val="0"/>
          <w:spacing w:val="0"/>
          <w:kern w:val="0"/>
          <w:sz w:val="22"/>
          <w:szCs w:val="24"/>
          <w:rtl/>
        </w:rPr>
        <w:t>ההתנתקות</w:t>
      </w:r>
      <w:r w:rsidRPr="00643EF4">
        <w:rPr>
          <w:rFonts w:hint="cs"/>
          <w:rtl/>
        </w:rPr>
        <w:t xml:space="preserve">, 755, 800). תכליות אלה, לבטח כאשר מצטרפות הן זו לזו, ראויות הן. </w:t>
      </w:r>
      <w:r w:rsidRPr="00643EF4">
        <w:rPr>
          <w:rFonts w:ascii="Century" w:hAnsi="Century" w:hint="cs"/>
          <w:rtl/>
        </w:rPr>
        <w:t>עולה כי עיקר כובדה של ההכרעה מצוי במבחן המידתיות. האם הגשמת התכליות, הראויות כשלעצמן, נעשה באופן שאינו פוגע בזכויות היסוד מעבר לנדרש?</w:t>
      </w:r>
      <w:r w:rsidRPr="00643EF4">
        <w:rPr>
          <w:rFonts w:ascii="Century" w:hAnsi="Century" w:hint="cs"/>
        </w:rPr>
        <w:t xml:space="preserve"> </w:t>
      </w:r>
      <w:r w:rsidRPr="00643EF4">
        <w:rPr>
          <w:rFonts w:ascii="Century" w:hAnsi="Century" w:hint="cs"/>
          <w:rtl/>
        </w:rPr>
        <w:t xml:space="preserve">לכך נפנה כעת. </w:t>
      </w:r>
    </w:p>
    <w:p w14:paraId="2C780FC4" w14:textId="77777777" w:rsidR="0062781A" w:rsidRPr="00643EF4" w:rsidRDefault="0062781A" w:rsidP="0062781A">
      <w:pPr>
        <w:pStyle w:val="Ruller41"/>
        <w:rPr>
          <w:rFonts w:ascii="Century" w:hAnsi="Century"/>
          <w:rtl/>
        </w:rPr>
      </w:pPr>
    </w:p>
    <w:p w14:paraId="1501951E" w14:textId="77777777" w:rsidR="0062781A" w:rsidRPr="00643EF4" w:rsidRDefault="0062781A" w:rsidP="0062781A">
      <w:pPr>
        <w:pStyle w:val="12"/>
        <w:numPr>
          <w:ilvl w:val="0"/>
          <w:numId w:val="11"/>
        </w:numPr>
        <w:tabs>
          <w:tab w:val="clear" w:pos="907"/>
          <w:tab w:val="num" w:pos="1049"/>
        </w:tabs>
        <w:rPr>
          <w:rFonts w:ascii="Century" w:hAnsi="Century"/>
        </w:rPr>
      </w:pPr>
      <w:r w:rsidRPr="00643EF4">
        <w:rPr>
          <w:rtl/>
        </w:rPr>
        <w:tab/>
      </w:r>
      <w:r w:rsidRPr="00643EF4">
        <w:rPr>
          <w:rFonts w:hint="cs"/>
          <w:rtl/>
        </w:rPr>
        <w:t xml:space="preserve">אקדים ואומר כי </w:t>
      </w:r>
      <w:r w:rsidRPr="00643EF4">
        <w:rPr>
          <w:rStyle w:val="a2"/>
          <w:rFonts w:hint="cs"/>
          <w:rtl/>
        </w:rPr>
        <w:t>ישנו קשר רציונלי בין</w:t>
      </w:r>
      <w:r w:rsidRPr="00643EF4">
        <w:rPr>
          <w:rFonts w:hint="cs"/>
          <w:rtl/>
        </w:rPr>
        <w:t xml:space="preserve"> תכליות החוק והאמצעים שנבחרו להוצאתם אל הפועל. גם אם אניח כי ניתן היה לממש תכליות אלה באמצעות הסדר נקודתי ומצומצם יותר, מקומו של הדיון בעניין זה בשלביו הבאים של מבחן המידתיות (ראו והשוו בג"ץ 5771/12 </w:t>
      </w:r>
      <w:r w:rsidRPr="00643EF4">
        <w:rPr>
          <w:rFonts w:cs="Miriam" w:hint="cs"/>
          <w:b/>
          <w:spacing w:val="0"/>
          <w:szCs w:val="24"/>
          <w:rtl/>
        </w:rPr>
        <w:t>משה נ' הוועדה לאישור הסכמים לנשיאת עוברים (אישור הסכם ומעמד היילוד), התשנ"ו-1996</w:t>
      </w:r>
      <w:r w:rsidRPr="00643EF4">
        <w:rPr>
          <w:rFonts w:hint="cs"/>
          <w:rtl/>
        </w:rPr>
        <w:t xml:space="preserve">, פסקה 29 לחוות דעת הנשיאה חיות [במיעוט לעניין התוצאה] (18.9.2014)). זאת ועוד, </w:t>
      </w:r>
      <w:r w:rsidRPr="00643EF4">
        <w:rPr>
          <w:rFonts w:ascii="Times New Roman" w:hAnsi="Times New Roman" w:hint="cs"/>
          <w:rtl/>
        </w:rPr>
        <w:t xml:space="preserve">חוק ההסדרה </w:t>
      </w:r>
      <w:r w:rsidRPr="00643EF4">
        <w:rPr>
          <w:rFonts w:hint="cs"/>
          <w:rtl/>
        </w:rPr>
        <w:t xml:space="preserve">צולח, בעיקרו, גם את מבחן </w:t>
      </w:r>
      <w:r w:rsidRPr="00643EF4">
        <w:rPr>
          <w:rStyle w:val="a2"/>
          <w:rFonts w:hint="cs"/>
          <w:rtl/>
        </w:rPr>
        <w:t xml:space="preserve">האמצעי </w:t>
      </w:r>
      <w:r w:rsidRPr="00643EF4">
        <w:rPr>
          <w:rStyle w:val="a2"/>
          <w:rFonts w:hint="cs"/>
          <w:rtl/>
        </w:rPr>
        <w:lastRenderedPageBreak/>
        <w:t>שפגיעתו פחותה, ולו</w:t>
      </w:r>
      <w:r w:rsidRPr="00643EF4">
        <w:rPr>
          <w:rFonts w:hint="cs"/>
          <w:rtl/>
        </w:rPr>
        <w:t xml:space="preserve"> משום שלא ניתן להגשים את מכלול תכליותיו </w:t>
      </w:r>
      <w:r w:rsidRPr="00643EF4">
        <w:rPr>
          <w:rtl/>
        </w:rPr>
        <w:t>–</w:t>
      </w:r>
      <w:r w:rsidRPr="00643EF4">
        <w:rPr>
          <w:rFonts w:hint="cs"/>
          <w:rtl/>
        </w:rPr>
        <w:t xml:space="preserve"> ובייחוד את התכלית הלאומית-פוליטית של חיזוק ההתיישבות באזור </w:t>
      </w:r>
      <w:r w:rsidRPr="00643EF4">
        <w:rPr>
          <w:rtl/>
        </w:rPr>
        <w:t>–</w:t>
      </w:r>
      <w:r w:rsidRPr="00643EF4">
        <w:rPr>
          <w:rFonts w:hint="cs"/>
          <w:rtl/>
        </w:rPr>
        <w:t xml:space="preserve"> באמצעות חלופות פוגעניות פחות, "</w:t>
      </w:r>
      <w:r w:rsidRPr="00643EF4">
        <w:rPr>
          <w:rFonts w:cs="Miriam" w:hint="cs"/>
          <w:b/>
          <w:spacing w:val="0"/>
          <w:szCs w:val="24"/>
          <w:rtl/>
        </w:rPr>
        <w:t>באותה מידה</w:t>
      </w:r>
      <w:r w:rsidRPr="00643EF4">
        <w:rPr>
          <w:rFonts w:hint="cs"/>
          <w:rtl/>
        </w:rPr>
        <w:t xml:space="preserve"> שעושה כן האמצעי שנבחר" (בג"ץ 4427/16 </w:t>
      </w:r>
      <w:r w:rsidRPr="00643EF4">
        <w:rPr>
          <w:rFonts w:cs="Miriam" w:hint="cs"/>
          <w:b/>
          <w:spacing w:val="0"/>
          <w:szCs w:val="24"/>
          <w:rtl/>
        </w:rPr>
        <w:t>בדראן נ' מתאם הפעולות בשטחים</w:t>
      </w:r>
      <w:r w:rsidRPr="00643EF4">
        <w:rPr>
          <w:rFonts w:hint="cs"/>
          <w:rtl/>
        </w:rPr>
        <w:t xml:space="preserve">, פסקה 5 לחוות דעתי (21.11.2019)). וכאן מגיעים אנו לעיקר </w:t>
      </w:r>
      <w:r w:rsidRPr="00643EF4">
        <w:rPr>
          <w:rtl/>
        </w:rPr>
        <w:t>–</w:t>
      </w:r>
      <w:r w:rsidRPr="00643EF4">
        <w:rPr>
          <w:rFonts w:hint="cs"/>
          <w:rtl/>
        </w:rPr>
        <w:t xml:space="preserve"> </w:t>
      </w:r>
      <w:r w:rsidRPr="00643EF4">
        <w:rPr>
          <w:rFonts w:ascii="Century" w:hAnsi="Century" w:hint="cs"/>
          <w:rtl/>
        </w:rPr>
        <w:t xml:space="preserve">מהות ההכרעה המצויה, כפי שקורה לא פעם, במבחן המשנה השלישי. </w:t>
      </w:r>
    </w:p>
    <w:p w14:paraId="78C25B3D" w14:textId="77777777" w:rsidR="0062781A" w:rsidRPr="00643EF4" w:rsidRDefault="0062781A" w:rsidP="0062781A">
      <w:pPr>
        <w:pStyle w:val="a3"/>
      </w:pPr>
    </w:p>
    <w:p w14:paraId="53332DF7" w14:textId="77777777" w:rsidR="0062781A" w:rsidRPr="00643EF4" w:rsidRDefault="0062781A" w:rsidP="0062781A">
      <w:pPr>
        <w:pStyle w:val="a3"/>
        <w:rPr>
          <w:rtl/>
        </w:rPr>
      </w:pPr>
      <w:r w:rsidRPr="00643EF4">
        <w:rPr>
          <w:rFonts w:hint="cs"/>
          <w:rtl/>
        </w:rPr>
        <w:t xml:space="preserve">לשיטתי, חוק ההסדרה אינו עומד במבחן המידתיות במובן הצר, אשר </w:t>
      </w:r>
      <w:r w:rsidRPr="00643EF4">
        <w:rPr>
          <w:rtl/>
        </w:rPr>
        <w:t>–</w:t>
      </w:r>
    </w:p>
    <w:p w14:paraId="6D7751D7" w14:textId="77777777" w:rsidR="0062781A" w:rsidRPr="00643EF4" w:rsidRDefault="0062781A" w:rsidP="0062781A">
      <w:pPr>
        <w:pStyle w:val="Ruller41"/>
        <w:rPr>
          <w:rFonts w:ascii="Century" w:hAnsi="Century"/>
          <w:rtl/>
        </w:rPr>
      </w:pPr>
    </w:p>
    <w:p w14:paraId="158BA1A4" w14:textId="77777777" w:rsidR="0062781A" w:rsidRPr="00643EF4" w:rsidRDefault="0062781A" w:rsidP="0062781A">
      <w:pPr>
        <w:pStyle w:val="Ruller5"/>
      </w:pPr>
      <w:r w:rsidRPr="00643EF4">
        <w:rPr>
          <w:rtl/>
        </w:rPr>
        <w:t>"בודק את היחס בין הנזק שנגרם לזכות החוקתית שנפגעה לבין התועלת לאינטרס הציבורי המוגן כתוצאה מהפגיעה. לשון אחרת, נזק מול תועלת, יחיד מול הכלל. לשם הדיוק, המיקוד הוא בפער בין הנזק שנגרם על-ידי החלופה שנבחרה לעומת הנזק מהחלופה הפחות פוגענית, ובפער שבין התועלת המופקת מאימוץ החלופה שנבחרה לבין התועלת שתצמח מהחלופה הפחות פוגענית" (</w:t>
      </w:r>
      <w:r w:rsidRPr="00643EF4">
        <w:rPr>
          <w:rFonts w:hint="cs"/>
          <w:rtl/>
        </w:rPr>
        <w:t xml:space="preserve">בג"ץ 466/07 </w:t>
      </w:r>
      <w:r w:rsidRPr="00643EF4">
        <w:rPr>
          <w:rFonts w:ascii="Century" w:hAnsi="Century" w:cs="Miriam" w:hint="cs"/>
          <w:b/>
          <w:spacing w:val="0"/>
          <w:szCs w:val="24"/>
          <w:rtl/>
        </w:rPr>
        <w:t>גלאון נ' היועץ המשפטי לממשלה</w:t>
      </w:r>
      <w:r w:rsidRPr="00643EF4">
        <w:rPr>
          <w:rFonts w:hint="cs"/>
          <w:rtl/>
        </w:rPr>
        <w:t>, פ"ד סה(2) 1</w:t>
      </w:r>
      <w:r w:rsidRPr="00643EF4">
        <w:rPr>
          <w:rtl/>
        </w:rPr>
        <w:t>, פסקה 4 לחוות דעתי</w:t>
      </w:r>
      <w:r w:rsidRPr="00643EF4">
        <w:rPr>
          <w:rFonts w:hint="cs"/>
          <w:rtl/>
        </w:rPr>
        <w:t xml:space="preserve"> (2012)</w:t>
      </w:r>
      <w:r w:rsidRPr="00643EF4">
        <w:rPr>
          <w:rtl/>
        </w:rPr>
        <w:t>). </w:t>
      </w:r>
    </w:p>
    <w:p w14:paraId="28C4BFDC" w14:textId="77777777" w:rsidR="0062781A" w:rsidRPr="00643EF4" w:rsidRDefault="0062781A" w:rsidP="0062781A">
      <w:pPr>
        <w:pStyle w:val="Ruller41"/>
        <w:rPr>
          <w:rFonts w:ascii="Century" w:hAnsi="Century"/>
          <w:rtl/>
        </w:rPr>
      </w:pPr>
    </w:p>
    <w:p w14:paraId="1F012601" w14:textId="77777777" w:rsidR="0062781A" w:rsidRPr="00643EF4" w:rsidRDefault="0062781A" w:rsidP="0062781A">
      <w:pPr>
        <w:pStyle w:val="Ruller41"/>
        <w:rPr>
          <w:rFonts w:ascii="Century" w:hAnsi="Century"/>
          <w:rtl/>
        </w:rPr>
      </w:pPr>
      <w:r w:rsidRPr="00643EF4">
        <w:rPr>
          <w:rFonts w:ascii="Century" w:hAnsi="Century" w:hint="cs"/>
          <w:rtl/>
        </w:rPr>
        <w:t xml:space="preserve">נטילת זכויות השימוש וההחזקה במקרקעין פוגעת קשות בזכות לקניין ולכבוד. כך גם רישום של מקרקעין כרכוש ממשלתי, מבלי שניתנת לטוענים לזכויות בהם אפשרות אמיתית להציג את טענותיהם. ודוקו, אפשר שיש צדק בדברי חברי, השופט סולברג, כי "במצבים רבים מאד שבהם מדבר החוק" הפגיעה בקניין קלה יותר </w:t>
      </w:r>
      <w:r w:rsidRPr="00643EF4">
        <w:rPr>
          <w:rFonts w:ascii="Century" w:hAnsi="Century"/>
          <w:rtl/>
        </w:rPr>
        <w:t>–</w:t>
      </w:r>
      <w:r w:rsidRPr="00643EF4">
        <w:rPr>
          <w:rFonts w:ascii="Century" w:hAnsi="Century" w:hint="cs"/>
          <w:rtl/>
        </w:rPr>
        <w:t xml:space="preserve"> אם משום ששיקולי ביטחון ומגבלות מעשיות ימנעו שימוש בחלק מהמקרקעין גם לאחר פינוים, ואם משום שחלק מבעלי הזכויות "היו שמחים ודאי" למכור אותן (פסקה 45 לחוות דעתו). דא עקא, גם אם יש ממש בשיקולים אלה (והשוו, </w:t>
      </w:r>
      <w:r w:rsidRPr="00643EF4">
        <w:rPr>
          <w:rFonts w:hint="cs"/>
          <w:rtl/>
        </w:rPr>
        <w:t xml:space="preserve">בג"ץ 794/17 </w:t>
      </w:r>
      <w:r w:rsidRPr="00643EF4">
        <w:rPr>
          <w:rFonts w:ascii="Century" w:hAnsi="Century" w:cs="Miriam" w:hint="cs"/>
          <w:b/>
          <w:spacing w:val="0"/>
          <w:szCs w:val="24"/>
          <w:rtl/>
        </w:rPr>
        <w:t>זיאדה נ' מפקד כוחות צה"ל בגדה המערבית</w:t>
      </w:r>
      <w:r w:rsidRPr="00643EF4">
        <w:rPr>
          <w:rFonts w:ascii="Century" w:hAnsi="Century" w:hint="cs"/>
          <w:rtl/>
        </w:rPr>
        <w:t xml:space="preserve">, פסקה 8 לחוות דעתי (31.10.2017)), הרי שניתן להניח באותה מידת ודאות כי חלק אחר של בעלי הזכויות מעוניין לשמור על המקרקעין (אם משיקולים פרטיים, ואם ממניעים "לאומיים"), וכי בחלק לא מבוטל של המקרקעין ניתן יהיה לעשות שימוש במתכונת כזו או אחרת (וראו, לדוגמה, בג"ץ 8815/10 </w:t>
      </w:r>
      <w:r w:rsidRPr="00643EF4">
        <w:rPr>
          <w:rFonts w:ascii="Century" w:hAnsi="Century" w:cs="Miriam" w:hint="cs"/>
          <w:b/>
          <w:spacing w:val="0"/>
          <w:szCs w:val="24"/>
          <w:rtl/>
        </w:rPr>
        <w:t>בשאראת נ' ועדת המשנה להתיישבות</w:t>
      </w:r>
      <w:r w:rsidRPr="00643EF4">
        <w:rPr>
          <w:rFonts w:ascii="Century" w:hAnsi="Century" w:hint="cs"/>
          <w:rtl/>
        </w:rPr>
        <w:t xml:space="preserve"> (5.5.2011)). אף על פי כן, חוק ההסדרה אינו מייחס כל חשיבות לבחינה נקודתית של הנסיבות, ומורה בצורה גורפת על נטילת הזכויות במקרקעין אלה ועל רישומם כרכוש ממשלתי. בבואנו לאזן בין תועלתו של החוק ופגיעתו בזכויות היסוד, לא ניתן "לבחור" את זירת האיזון, ולהתעלם מן המקרים המורכבים יותר. </w:t>
      </w:r>
    </w:p>
    <w:p w14:paraId="0A1BA7FE" w14:textId="77777777" w:rsidR="0062781A" w:rsidRPr="00643EF4" w:rsidRDefault="0062781A" w:rsidP="0062781A">
      <w:pPr>
        <w:pStyle w:val="Ruller41"/>
        <w:rPr>
          <w:rFonts w:ascii="Century" w:hAnsi="Century"/>
          <w:rtl/>
        </w:rPr>
      </w:pPr>
    </w:p>
    <w:p w14:paraId="62087484" w14:textId="77777777" w:rsidR="0062781A" w:rsidRPr="00643EF4" w:rsidRDefault="0062781A" w:rsidP="0062781A">
      <w:pPr>
        <w:pStyle w:val="12"/>
        <w:numPr>
          <w:ilvl w:val="0"/>
          <w:numId w:val="11"/>
        </w:numPr>
        <w:tabs>
          <w:tab w:val="clear" w:pos="907"/>
          <w:tab w:val="num" w:pos="1049"/>
        </w:tabs>
        <w:rPr>
          <w:rtl/>
        </w:rPr>
      </w:pPr>
      <w:r w:rsidRPr="00643EF4">
        <w:rPr>
          <w:rFonts w:hint="cs"/>
          <w:rtl/>
        </w:rPr>
        <w:tab/>
        <w:t xml:space="preserve">אכן, המחוקק הציע מענה לפגיעה בזכויות, בדמות פיצוי כספי או קרקע חלופית. כשם שהפגיעה גורפת, גם הפיצוי גורף. ברם, גם פתרון זה אינו נותן מענה מידתי לקשיים השונים שמעורר החוק. ככל שעסקינן בתכלית ה"אנושית", דהיינו בפגיעה באדם הפרטי, הרי שההסדר המשפטי נדרש להתמקד בפגיעה הפרטנית. במסגרת זו אין די להתמקד בפרט אחד שנפגע, תוך פגיעה </w:t>
      </w:r>
      <w:r w:rsidRPr="00643EF4">
        <w:rPr>
          <w:rtl/>
        </w:rPr>
        <w:t>–</w:t>
      </w:r>
      <w:r w:rsidRPr="00643EF4">
        <w:rPr>
          <w:rFonts w:hint="cs"/>
          <w:rtl/>
        </w:rPr>
        <w:t xml:space="preserve"> אולי קשה יותר </w:t>
      </w:r>
      <w:r w:rsidRPr="00643EF4">
        <w:rPr>
          <w:rtl/>
        </w:rPr>
        <w:t>–</w:t>
      </w:r>
      <w:r w:rsidRPr="00643EF4">
        <w:rPr>
          <w:rFonts w:hint="cs"/>
          <w:rtl/>
        </w:rPr>
        <w:t xml:space="preserve"> בפרט אחר. הסדר מידתי שתכליתו </w:t>
      </w:r>
      <w:r w:rsidRPr="00643EF4">
        <w:rPr>
          <w:rFonts w:hint="cs"/>
          <w:rtl/>
        </w:rPr>
        <w:lastRenderedPageBreak/>
        <w:t xml:space="preserve">להגן על זכויות הפרט נדרש לאזן ולמדוד את הפגיעה בפרטים השונים: מתיישב שהשקיע במקרקעין בתום לב, אל מול בעל המקרקעין שמקרקעיו אבדו לו אך משום שאחר התיישב בהם שלא כדין. העדרו של איזון כזה חותר תחת התכלית האנושית עצמה. כפי שהבהירו חבריי, לעיתים העדפת המתיישב תם הלב מוצדקת משיקולים שונים, ופגיעה כזו בזכות הקניין של בעל המקרקעין מידתית היא. ברם, קביעה כזו אינה יכולה להיות מנותקת מבחינה פרטנית של המקרה, לרבות סדי הזמנים הרלוונטיים, מידת תום הלב והאשם שנפל במעשי כל אחד מן הצדדים, שאלות של תמורה (של המתיישב עצמו, ולא של גורמים אחרים כגון הרשות), טיב השימוש במקרקעין ועוד. כיום ישנה העדפה מוחלטת של אדם שהתיישב על מקרקעין לא לו. העדפה כזו פוגעת באופן בלתי מידתי בזכות הקניין של בעל המקרקעין, וזאת אף בראי התכלית ה"אנושית" עצמה, שתכליתה לפתור את מצוקתו של אדם שמקרקעיו ניטלו ממנו. </w:t>
      </w:r>
    </w:p>
    <w:p w14:paraId="796AE376" w14:textId="77777777" w:rsidR="0062781A" w:rsidRPr="00643EF4" w:rsidRDefault="0062781A" w:rsidP="0062781A">
      <w:pPr>
        <w:pStyle w:val="Ruller41"/>
        <w:rPr>
          <w:rFonts w:ascii="Century" w:hAnsi="Century"/>
          <w:rtl/>
        </w:rPr>
      </w:pPr>
    </w:p>
    <w:p w14:paraId="14A51B35" w14:textId="77777777" w:rsidR="0062781A" w:rsidRPr="00643EF4" w:rsidRDefault="0062781A" w:rsidP="0062781A">
      <w:pPr>
        <w:pStyle w:val="Ruller41"/>
        <w:rPr>
          <w:rFonts w:ascii="Century" w:hAnsi="Century"/>
          <w:rtl/>
        </w:rPr>
      </w:pPr>
      <w:r w:rsidRPr="00643EF4">
        <w:rPr>
          <w:rFonts w:ascii="Century" w:hAnsi="Century"/>
          <w:rtl/>
        </w:rPr>
        <w:tab/>
      </w:r>
      <w:r w:rsidRPr="00643EF4">
        <w:rPr>
          <w:rFonts w:ascii="Century" w:hAnsi="Century" w:hint="cs"/>
          <w:rtl/>
        </w:rPr>
        <w:t xml:space="preserve">זאת ועוד, נטילת הזכויות לפי סעיף 3 לחוק מתאפשרת לא רק במקום שבו נבנתה ההתיישבות בתום לב, אלא די בכך שניתנה הסכמת המדינה לבניית ההתיישבות. פירושו של דבר הוא כי נטילת הזכויות מתאפשרת גם אם ההתיישבות נעשתה בחוסר תום לב, לפחות במובן הנזכר בחוק. זוהי תוצאה שאינה מידתית ככל שהמיקוד הוא בפרט. במסגרת התחרות הקניינית, ניתנת עדיפות לפרט חסר תום הלב על פני בעל המקרקעין. ואם תאמר כי חלופת ההסכמה </w:t>
      </w:r>
      <w:r w:rsidRPr="00643EF4">
        <w:rPr>
          <w:rFonts w:ascii="Century" w:hAnsi="Century"/>
          <w:rtl/>
        </w:rPr>
        <w:t>–</w:t>
      </w:r>
      <w:r w:rsidRPr="00643EF4">
        <w:rPr>
          <w:rFonts w:ascii="Century" w:hAnsi="Century" w:hint="cs"/>
          <w:rtl/>
        </w:rPr>
        <w:t xml:space="preserve"> גם בהיעדר תום לב </w:t>
      </w:r>
      <w:r w:rsidRPr="00643EF4">
        <w:rPr>
          <w:rFonts w:ascii="Century" w:hAnsi="Century"/>
          <w:rtl/>
        </w:rPr>
        <w:t>–</w:t>
      </w:r>
      <w:r w:rsidRPr="00643EF4">
        <w:rPr>
          <w:rFonts w:ascii="Century" w:hAnsi="Century" w:hint="cs"/>
          <w:rtl/>
        </w:rPr>
        <w:t xml:space="preserve"> נועדה להשיג את התכלית ההתיישבותית הלאומית, ניתן להשיב כי גם הכרה בתכלית זו אינה דוחה באופן מוחלט את זכותו של הפרט להגנה על קניינו במסגרת שלטון החוק. אין די בהזכרת המילים "אינטרס לאומי" כדי להוביל לנסיגתן של זכויות יסוד ואינטרסים לגיטימיים של צדדים שלישיים. בהקשר האחרון, וככל שהתכלית ממוקדת במדינה ולאו דווקא בפגיעה בפרט קונקרטי, יש לשקול במסגרת הפגיעה בזכויות גם את העובדה שההתיישבות על המקרקעין שלא כדין נעשתה תוך פגיעה בשלטון החוק: סיוע של הרשות לפרט אחד להתיישב, שלא בתום לב, במקרקעין השייכים לזולתו. נתון זה מעצים את הפגיעה בזכויותיו של בעל המקרקעין. אכן, שאלה של איזון בין תכליות וזכויות לפנינו, ונכון אני להניח שעשויים להיות מקרים שבהם יצדיקו התכלית האנושית והתכלית הלאומית את הפגיעה בזכויות בעל המקרקעין, גם לפי חלופת ההסכמה לבניית ההתיישבות. כך, למשל, כאשר הסכמת הרשות, בהגדרה מצומצמת ולא כפי שהיום, עשויה ללמד על מעין תום לב. אך הסדר הדוחה את זכויות בעל המקרקעין באופן מוחלט, מבלי לבחון כלל את נסיבות המקרה הפרטניות, אינו מידתי: אין דין התיישבות ותיקה כדין התיישבות בת יומה, אין דין בית מגורים כדין שטח לבניית "מתקנים", ואין דין הסכמה בדמות עצימת עיניים כדין מימון מלא ותמיכה רחבה. </w:t>
      </w:r>
    </w:p>
    <w:p w14:paraId="1D11851E" w14:textId="77777777" w:rsidR="0062781A" w:rsidRPr="00643EF4" w:rsidRDefault="0062781A" w:rsidP="0062781A">
      <w:pPr>
        <w:pStyle w:val="Ruller41"/>
        <w:rPr>
          <w:rFonts w:ascii="Century" w:hAnsi="Century"/>
          <w:rtl/>
        </w:rPr>
      </w:pPr>
    </w:p>
    <w:p w14:paraId="442C809A" w14:textId="77777777" w:rsidR="0062781A" w:rsidRPr="00643EF4" w:rsidRDefault="0062781A" w:rsidP="0062781A">
      <w:pPr>
        <w:pStyle w:val="12"/>
        <w:numPr>
          <w:ilvl w:val="0"/>
          <w:numId w:val="11"/>
        </w:numPr>
        <w:tabs>
          <w:tab w:val="clear" w:pos="907"/>
          <w:tab w:val="num" w:pos="1049"/>
        </w:tabs>
        <w:rPr>
          <w:rtl/>
        </w:rPr>
      </w:pPr>
      <w:r w:rsidRPr="00643EF4">
        <w:rPr>
          <w:rtl/>
        </w:rPr>
        <w:tab/>
      </w:r>
      <w:r w:rsidRPr="00643EF4">
        <w:rPr>
          <w:rFonts w:hint="cs"/>
          <w:rtl/>
        </w:rPr>
        <w:t xml:space="preserve">חברי, השופט סולברג, סבר כי ניתן לפתור את הקשיים שנפלו בחוק באמצעות צמצום ההגדרות המצויות בו, כגון ההגדרה הרחבה של "התיישבות" או הקביעה לפיה </w:t>
      </w:r>
      <w:r w:rsidRPr="00643EF4">
        <w:rPr>
          <w:rFonts w:hint="cs"/>
          <w:rtl/>
        </w:rPr>
        <w:lastRenderedPageBreak/>
        <w:t>די בהסכמת גורם ציבורי זניח להקמת ההתיישבות. ברם, גם ההגדרות המצומצמות שהוצעו על ידו אינן נותנות, לטעמי, משקל לנתונים פרטניים שונים, הרלוונטיים להגשמת התכליות הראויות של החוק עצמו. בנסיבות אלה, מתכונתו הגורפת הנוכחית של חוק ההסדרה אינה יכולה לעמוד. ויוזכר, כי גם אם התכלית ההתיישבותית הלאומית ראויה היא, כוחה דועך אל מול תפיסת רכוש באופן הפוגע בשלטון החוק כלפי הפרט.</w:t>
      </w:r>
    </w:p>
    <w:p w14:paraId="7A4E7054" w14:textId="77777777" w:rsidR="0062781A" w:rsidRPr="00643EF4" w:rsidRDefault="0062781A" w:rsidP="0062781A">
      <w:pPr>
        <w:pStyle w:val="Ruller41"/>
        <w:rPr>
          <w:rFonts w:ascii="Century" w:hAnsi="Century"/>
          <w:rtl/>
        </w:rPr>
      </w:pPr>
    </w:p>
    <w:p w14:paraId="2E38454C" w14:textId="77777777" w:rsidR="0062781A" w:rsidRPr="00643EF4" w:rsidRDefault="0062781A" w:rsidP="0062781A">
      <w:pPr>
        <w:pStyle w:val="Ruller41"/>
        <w:rPr>
          <w:rFonts w:ascii="Century" w:hAnsi="Century"/>
          <w:rtl/>
        </w:rPr>
      </w:pPr>
      <w:r w:rsidRPr="00643EF4">
        <w:rPr>
          <w:rFonts w:ascii="Century" w:hAnsi="Century"/>
          <w:rtl/>
        </w:rPr>
        <w:tab/>
      </w:r>
      <w:r w:rsidRPr="00643EF4">
        <w:rPr>
          <w:rFonts w:ascii="Century" w:hAnsi="Century" w:hint="cs"/>
          <w:rtl/>
        </w:rPr>
        <w:t xml:space="preserve">שעה שחלקים מהותיים של החוק אינם מידתיים, אין טעם, להשקפתי, לעשות שימוש ב"עיפרון הכחול". נכון יותר לפסול את החוק כמכלול, תוך הותרת שיקול דעת למחוקק באשר לחקיקת גרסה מצומצמת ומידתית שלו. בהקשר זה, אומר רק כי הן התכלית האנושית של ההסדרה, הן תכליתה הלאומית, והן תכלית ההסדרה מבחינה משפטית ועשיית סדר </w:t>
      </w:r>
      <w:r w:rsidRPr="00643EF4">
        <w:rPr>
          <w:rFonts w:ascii="Century" w:hAnsi="Century"/>
          <w:rtl/>
        </w:rPr>
        <w:t>–</w:t>
      </w:r>
      <w:r w:rsidRPr="00643EF4">
        <w:rPr>
          <w:rFonts w:ascii="Century" w:hAnsi="Century" w:hint="cs"/>
          <w:rtl/>
        </w:rPr>
        <w:t xml:space="preserve"> תכליות ראויות הן. הסדר שיממש את ליבתן של תכליות אלה, תוך מזעור הפגיעה בזכויות היסוד, עשוי לעמוד בהצלחה בביקורת שיפוטית עתידית.</w:t>
      </w:r>
    </w:p>
    <w:p w14:paraId="3FC734F9" w14:textId="77777777" w:rsidR="0062781A" w:rsidRPr="00643EF4" w:rsidRDefault="0062781A" w:rsidP="0062781A">
      <w:pPr>
        <w:pStyle w:val="Ruller41"/>
        <w:rPr>
          <w:rFonts w:ascii="Century" w:hAnsi="Century"/>
          <w:rtl/>
        </w:rPr>
      </w:pPr>
    </w:p>
    <w:p w14:paraId="58480F6B" w14:textId="77777777" w:rsidR="0062781A" w:rsidRPr="00643EF4" w:rsidRDefault="0062781A" w:rsidP="0062781A">
      <w:pPr>
        <w:pStyle w:val="12"/>
        <w:numPr>
          <w:ilvl w:val="0"/>
          <w:numId w:val="11"/>
        </w:numPr>
        <w:tabs>
          <w:tab w:val="clear" w:pos="907"/>
          <w:tab w:val="num" w:pos="1049"/>
        </w:tabs>
        <w:rPr>
          <w:rtl/>
        </w:rPr>
      </w:pPr>
      <w:r w:rsidRPr="00643EF4">
        <w:rPr>
          <w:rFonts w:hint="cs"/>
          <w:rtl/>
        </w:rPr>
        <w:t xml:space="preserve">סוף דבר, חוק ההסדרה </w:t>
      </w:r>
      <w:r w:rsidRPr="00643EF4">
        <w:rPr>
          <w:rtl/>
        </w:rPr>
        <w:t>–</w:t>
      </w:r>
      <w:r w:rsidRPr="00643EF4">
        <w:rPr>
          <w:rFonts w:hint="cs"/>
          <w:rtl/>
        </w:rPr>
        <w:t xml:space="preserve"> על רכיביו השונים </w:t>
      </w:r>
      <w:r w:rsidRPr="00643EF4">
        <w:rPr>
          <w:rtl/>
        </w:rPr>
        <w:t>–</w:t>
      </w:r>
      <w:r w:rsidRPr="00643EF4">
        <w:rPr>
          <w:rFonts w:hint="cs"/>
          <w:rtl/>
        </w:rPr>
        <w:t xml:space="preserve"> פוגע בזכות הקניין של בעלי הזכויות במקרקעין. אף שתכליותיו ראויות, תועלתן אינה עולה על הנזק הנובע מאופיו הרחב, הגורף והקולקטיבי, ומשום כך החוק אינו יכול לעמוד במתכונתו הנוכחית. בהקשר זה לא ניתן להתעלם מהרקע, שמוסכם גם על המדינה, של פגיעה בשלטון החוק. ההסדרה היא של מקרקעין שניטלו בעבר שלא כדין, תוך פגיעה בזכויות קניין. נוצר כלל אחיד שאינו מבחין בין מקרה למקרה, כאילו השוויון והפשטות שבדבר מכסים על חוסר המידתיות כלפי הנפגעים השונים. זוהי קבוצה הכוללת יחידים רבים ונסיבות מגוונות. אם כך המצב, גם הפיצוי שנקבע בחוק אינו יכול להוות פתרון הולם בכל המקרים כולם. משכך, אני מצטרף, כאמור, לתוצאה אליה הגיעה חברתי הנשיאה.</w:t>
      </w:r>
    </w:p>
    <w:p w14:paraId="5F846957" w14:textId="77777777" w:rsidR="0062781A" w:rsidRPr="00643EF4" w:rsidRDefault="0062781A" w:rsidP="0062781A"/>
    <w:p w14:paraId="75CA16E7" w14:textId="77777777" w:rsidR="0062781A" w:rsidRPr="00643EF4" w:rsidRDefault="0062781A" w:rsidP="0062781A">
      <w:pPr>
        <w:rPr>
          <w:rtl/>
        </w:rPr>
      </w:pPr>
    </w:p>
    <w:p w14:paraId="7CC26045" w14:textId="6711A11C" w:rsidR="00857BCA" w:rsidRPr="00643EF4" w:rsidRDefault="00857BCA" w:rsidP="00857BCA">
      <w:pPr>
        <w:pStyle w:val="BODYVERDICT"/>
        <w:rPr>
          <w:rFonts w:cs="Miriam"/>
          <w:sz w:val="24"/>
          <w:szCs w:val="24"/>
          <w:rtl/>
        </w:rPr>
      </w:pPr>
    </w:p>
    <w:tbl>
      <w:tblPr>
        <w:bidiVisual/>
        <w:tblW w:w="8363" w:type="dxa"/>
        <w:tblLook w:val="01E0" w:firstRow="1" w:lastRow="1" w:firstColumn="1" w:lastColumn="1" w:noHBand="0" w:noVBand="0"/>
      </w:tblPr>
      <w:tblGrid>
        <w:gridCol w:w="2786"/>
        <w:gridCol w:w="2787"/>
        <w:gridCol w:w="2790"/>
      </w:tblGrid>
      <w:tr w:rsidR="00857BCA" w:rsidRPr="00643EF4" w14:paraId="2C3FBBAE" w14:textId="77777777" w:rsidTr="00EA5DF0">
        <w:tc>
          <w:tcPr>
            <w:tcW w:w="2842" w:type="dxa"/>
            <w:hideMark/>
          </w:tcPr>
          <w:p w14:paraId="47F43732" w14:textId="77777777" w:rsidR="00857BCA" w:rsidRPr="00643EF4" w:rsidRDefault="00857BCA" w:rsidP="00EA5DF0">
            <w:pPr>
              <w:pStyle w:val="Ruller41"/>
            </w:pPr>
          </w:p>
        </w:tc>
        <w:tc>
          <w:tcPr>
            <w:tcW w:w="2843" w:type="dxa"/>
            <w:hideMark/>
          </w:tcPr>
          <w:p w14:paraId="7EF64404" w14:textId="77777777" w:rsidR="00857BCA" w:rsidRPr="00643EF4" w:rsidRDefault="00857BCA" w:rsidP="00EA5DF0">
            <w:pPr>
              <w:pStyle w:val="Ruller41"/>
              <w:jc w:val="center"/>
              <w:rPr>
                <w:rtl/>
              </w:rPr>
            </w:pPr>
          </w:p>
        </w:tc>
        <w:tc>
          <w:tcPr>
            <w:tcW w:w="2843" w:type="dxa"/>
            <w:hideMark/>
          </w:tcPr>
          <w:p w14:paraId="489C38E6" w14:textId="77777777" w:rsidR="00857BCA" w:rsidRPr="00643EF4" w:rsidRDefault="00857BCA" w:rsidP="00EA5DF0">
            <w:pPr>
              <w:pStyle w:val="Ruller41"/>
              <w:jc w:val="center"/>
              <w:rPr>
                <w:rtl/>
              </w:rPr>
            </w:pPr>
            <w:r w:rsidRPr="00643EF4">
              <w:rPr>
                <w:rtl/>
              </w:rPr>
              <w:t xml:space="preserve">ש ו פ ט </w:t>
            </w:r>
          </w:p>
        </w:tc>
      </w:tr>
    </w:tbl>
    <w:p w14:paraId="15FE63BC" w14:textId="3BF34ED4" w:rsidR="00857BCA" w:rsidRPr="00643EF4" w:rsidRDefault="00857BCA" w:rsidP="00591983">
      <w:pPr>
        <w:pStyle w:val="Ruller38"/>
        <w:rPr>
          <w:rtl/>
        </w:rPr>
      </w:pPr>
    </w:p>
    <w:p w14:paraId="0023F2D6" w14:textId="665BF48D" w:rsidR="00857BCA" w:rsidRPr="00643EF4" w:rsidRDefault="00857BCA" w:rsidP="00591983">
      <w:pPr>
        <w:pStyle w:val="Ruller38"/>
        <w:rPr>
          <w:rtl/>
        </w:rPr>
      </w:pPr>
    </w:p>
    <w:p w14:paraId="70C1A188" w14:textId="2B315C68" w:rsidR="00857BCA" w:rsidRPr="00643EF4" w:rsidRDefault="00857BCA" w:rsidP="00591983">
      <w:pPr>
        <w:pStyle w:val="Ruller38"/>
        <w:rPr>
          <w:rtl/>
        </w:rPr>
      </w:pPr>
    </w:p>
    <w:p w14:paraId="7DA00BC5" w14:textId="77777777" w:rsidR="0043011E" w:rsidRPr="00643EF4" w:rsidRDefault="0043011E" w:rsidP="00333662">
      <w:pPr>
        <w:pStyle w:val="BODYVERDICT"/>
        <w:rPr>
          <w:rFonts w:cs="Miriam"/>
          <w:sz w:val="24"/>
          <w:szCs w:val="24"/>
          <w:u w:val="single"/>
          <w:rtl/>
        </w:rPr>
      </w:pPr>
    </w:p>
    <w:p w14:paraId="26119DA0" w14:textId="77777777" w:rsidR="0043011E" w:rsidRPr="00643EF4" w:rsidRDefault="0043011E" w:rsidP="00333662">
      <w:pPr>
        <w:pStyle w:val="BODYVERDICT"/>
        <w:rPr>
          <w:rFonts w:cs="Miriam"/>
          <w:sz w:val="24"/>
          <w:szCs w:val="24"/>
          <w:u w:val="single"/>
          <w:rtl/>
        </w:rPr>
      </w:pPr>
    </w:p>
    <w:p w14:paraId="7CF59CCB" w14:textId="77777777" w:rsidR="0043011E" w:rsidRPr="00643EF4" w:rsidRDefault="0043011E" w:rsidP="00333662">
      <w:pPr>
        <w:pStyle w:val="BODYVERDICT"/>
        <w:rPr>
          <w:rFonts w:cs="Miriam"/>
          <w:sz w:val="24"/>
          <w:szCs w:val="24"/>
          <w:u w:val="single"/>
          <w:rtl/>
        </w:rPr>
      </w:pPr>
    </w:p>
    <w:p w14:paraId="42B4D1C2" w14:textId="77777777" w:rsidR="0043011E" w:rsidRPr="00643EF4" w:rsidRDefault="0043011E" w:rsidP="00333662">
      <w:pPr>
        <w:pStyle w:val="BODYVERDICT"/>
        <w:rPr>
          <w:rFonts w:cs="Miriam"/>
          <w:sz w:val="24"/>
          <w:szCs w:val="24"/>
          <w:u w:val="single"/>
          <w:rtl/>
        </w:rPr>
      </w:pPr>
    </w:p>
    <w:p w14:paraId="03363F68" w14:textId="628C7D6E" w:rsidR="00333662" w:rsidRPr="00643EF4" w:rsidRDefault="00333662" w:rsidP="00333662">
      <w:pPr>
        <w:pStyle w:val="BODYVERDICT"/>
        <w:rPr>
          <w:rFonts w:cs="Miriam"/>
          <w:sz w:val="24"/>
          <w:szCs w:val="24"/>
          <w:u w:val="single"/>
          <w:rtl/>
        </w:rPr>
      </w:pPr>
      <w:r w:rsidRPr="00643EF4">
        <w:rPr>
          <w:rFonts w:cs="Miriam"/>
          <w:sz w:val="24"/>
          <w:szCs w:val="24"/>
          <w:u w:val="single"/>
          <w:rtl/>
        </w:rPr>
        <w:t>המשנה לנשיאה ח' מלצר:</w:t>
      </w:r>
    </w:p>
    <w:p w14:paraId="532B1CD2" w14:textId="77777777" w:rsidR="00333662" w:rsidRPr="00643EF4" w:rsidRDefault="00333662" w:rsidP="00333662">
      <w:pPr>
        <w:pStyle w:val="Ruller41"/>
        <w:rPr>
          <w:rtl/>
        </w:rPr>
      </w:pPr>
    </w:p>
    <w:p w14:paraId="37FD8C4B" w14:textId="77777777" w:rsidR="00333662" w:rsidRPr="00643EF4" w:rsidRDefault="00333662" w:rsidP="00333662">
      <w:pPr>
        <w:pStyle w:val="Ruller41"/>
        <w:rPr>
          <w:rtl/>
        </w:rPr>
      </w:pPr>
      <w:r w:rsidRPr="00643EF4">
        <w:rPr>
          <w:rFonts w:hint="cs"/>
          <w:rtl/>
        </w:rPr>
        <w:t xml:space="preserve">1. </w:t>
      </w:r>
      <w:r w:rsidRPr="00643EF4">
        <w:rPr>
          <w:rtl/>
        </w:rPr>
        <w:tab/>
      </w:r>
      <w:r w:rsidRPr="00643EF4">
        <w:rPr>
          <w:rFonts w:hint="cs"/>
          <w:rtl/>
        </w:rPr>
        <w:t xml:space="preserve">אני מצטרף לחוות הדעת המקיפה של חברתי, הנשיאה </w:t>
      </w:r>
      <w:r w:rsidRPr="00643EF4">
        <w:rPr>
          <w:rFonts w:ascii="Century" w:hAnsi="Century" w:cs="Miriam" w:hint="cs"/>
          <w:b/>
          <w:spacing w:val="0"/>
          <w:szCs w:val="24"/>
          <w:rtl/>
        </w:rPr>
        <w:t>א' חיות</w:t>
      </w:r>
      <w:r w:rsidRPr="00643EF4">
        <w:rPr>
          <w:rFonts w:hint="cs"/>
          <w:rtl/>
        </w:rPr>
        <w:t>, ולתוצאה המוצעת על ידה.</w:t>
      </w:r>
    </w:p>
    <w:p w14:paraId="14FBE839" w14:textId="77777777" w:rsidR="00333662" w:rsidRPr="00643EF4" w:rsidRDefault="00333662" w:rsidP="00333662">
      <w:pPr>
        <w:pStyle w:val="Ruller41"/>
        <w:rPr>
          <w:rtl/>
        </w:rPr>
      </w:pPr>
    </w:p>
    <w:p w14:paraId="1F08976B" w14:textId="77777777" w:rsidR="00333662" w:rsidRPr="00643EF4" w:rsidRDefault="00333662" w:rsidP="00333662">
      <w:pPr>
        <w:pStyle w:val="Ruller41"/>
        <w:rPr>
          <w:rtl/>
        </w:rPr>
      </w:pPr>
      <w:r w:rsidRPr="00643EF4">
        <w:rPr>
          <w:rtl/>
        </w:rPr>
        <w:tab/>
      </w:r>
      <w:r w:rsidRPr="00643EF4">
        <w:rPr>
          <w:rFonts w:hint="cs"/>
          <w:rtl/>
        </w:rPr>
        <w:t xml:space="preserve">יחד עם זאת </w:t>
      </w:r>
      <w:r w:rsidRPr="00643EF4">
        <w:rPr>
          <w:rtl/>
        </w:rPr>
        <w:t>–</w:t>
      </w:r>
      <w:r w:rsidRPr="00643EF4">
        <w:rPr>
          <w:rFonts w:hint="cs"/>
          <w:rtl/>
        </w:rPr>
        <w:t xml:space="preserve"> אני מרשה לעצמי להציג מספר השגות וכמה תובנות, בין היתר, בעקבות דברים שכתבתי בעבר בנושאים קרובים, ומתוך התחשבות בחוות הדעת של חבריי, השופטים: </w:t>
      </w:r>
      <w:r w:rsidRPr="00643EF4">
        <w:rPr>
          <w:rFonts w:ascii="Century" w:hAnsi="Century" w:cs="Miriam" w:hint="cs"/>
          <w:b/>
          <w:spacing w:val="0"/>
          <w:szCs w:val="24"/>
          <w:rtl/>
        </w:rPr>
        <w:t>נ' הנדל</w:t>
      </w:r>
      <w:r w:rsidRPr="00643EF4">
        <w:rPr>
          <w:rFonts w:hint="cs"/>
          <w:rtl/>
        </w:rPr>
        <w:t xml:space="preserve"> ו-</w:t>
      </w:r>
      <w:r w:rsidRPr="00643EF4">
        <w:rPr>
          <w:rFonts w:ascii="Century" w:hAnsi="Century" w:cs="Miriam" w:hint="cs"/>
          <w:b/>
          <w:spacing w:val="0"/>
          <w:szCs w:val="24"/>
          <w:rtl/>
        </w:rPr>
        <w:t>נ' סולברג</w:t>
      </w:r>
      <w:r w:rsidRPr="00643EF4">
        <w:rPr>
          <w:rFonts w:hint="cs"/>
          <w:rtl/>
        </w:rPr>
        <w:t>,</w:t>
      </w:r>
      <w:r w:rsidRPr="00643EF4">
        <w:rPr>
          <w:rFonts w:ascii="Century" w:hAnsi="Century" w:cs="Miriam" w:hint="cs"/>
          <w:b/>
          <w:spacing w:val="0"/>
          <w:szCs w:val="24"/>
          <w:rtl/>
        </w:rPr>
        <w:t xml:space="preserve"> </w:t>
      </w:r>
      <w:r w:rsidRPr="00643EF4">
        <w:rPr>
          <w:rFonts w:hint="cs"/>
          <w:rtl/>
        </w:rPr>
        <w:t xml:space="preserve">והערותיה של חברתי, השופטת </w:t>
      </w:r>
      <w:r w:rsidRPr="00643EF4">
        <w:rPr>
          <w:rFonts w:ascii="Century" w:hAnsi="Century" w:cs="Miriam" w:hint="cs"/>
          <w:b/>
          <w:spacing w:val="0"/>
          <w:szCs w:val="24"/>
          <w:rtl/>
        </w:rPr>
        <w:t>ד' ברק-ארז</w:t>
      </w:r>
      <w:r w:rsidRPr="00643EF4">
        <w:rPr>
          <w:rFonts w:hint="cs"/>
          <w:rtl/>
        </w:rPr>
        <w:t xml:space="preserve">. </w:t>
      </w:r>
    </w:p>
    <w:p w14:paraId="27A5AD01" w14:textId="77777777" w:rsidR="00333662" w:rsidRPr="00643EF4" w:rsidRDefault="00333662" w:rsidP="00333662">
      <w:pPr>
        <w:pStyle w:val="Ruller41"/>
        <w:rPr>
          <w:rtl/>
        </w:rPr>
      </w:pPr>
    </w:p>
    <w:p w14:paraId="19EABDA2" w14:textId="77777777" w:rsidR="00333662" w:rsidRPr="00643EF4" w:rsidRDefault="00333662" w:rsidP="00333662">
      <w:pPr>
        <w:pStyle w:val="Ruller41"/>
        <w:rPr>
          <w:rtl/>
        </w:rPr>
      </w:pPr>
      <w:r w:rsidRPr="00643EF4">
        <w:rPr>
          <w:rtl/>
        </w:rPr>
        <w:tab/>
      </w:r>
      <w:r w:rsidRPr="00643EF4">
        <w:rPr>
          <w:rFonts w:hint="cs"/>
          <w:rtl/>
        </w:rPr>
        <w:t xml:space="preserve">אפרט איפוא עתה ראשון-ראשון ואחרון-אחרון. </w:t>
      </w:r>
    </w:p>
    <w:p w14:paraId="5D79A127" w14:textId="77777777" w:rsidR="00333662" w:rsidRPr="00643EF4" w:rsidRDefault="00333662" w:rsidP="00333662">
      <w:pPr>
        <w:pStyle w:val="Ruller41"/>
        <w:rPr>
          <w:rtl/>
        </w:rPr>
      </w:pPr>
    </w:p>
    <w:p w14:paraId="1E2842F1" w14:textId="77777777" w:rsidR="00333662" w:rsidRPr="00643EF4" w:rsidRDefault="00333662" w:rsidP="00333662">
      <w:pPr>
        <w:pStyle w:val="Ruller41"/>
        <w:rPr>
          <w:rtl/>
        </w:rPr>
      </w:pPr>
      <w:r w:rsidRPr="00643EF4">
        <w:rPr>
          <w:rFonts w:hint="cs"/>
          <w:rtl/>
        </w:rPr>
        <w:t>2.</w:t>
      </w:r>
      <w:r w:rsidRPr="00643EF4">
        <w:rPr>
          <w:rtl/>
        </w:rPr>
        <w:tab/>
      </w:r>
      <w:r w:rsidRPr="00643EF4">
        <w:rPr>
          <w:rFonts w:hint="cs"/>
          <w:rtl/>
        </w:rPr>
        <w:t xml:space="preserve">בבג"ץ 9949/08 </w:t>
      </w:r>
      <w:r w:rsidRPr="00643EF4">
        <w:rPr>
          <w:rFonts w:ascii="Century" w:hAnsi="Century" w:cs="Miriam" w:hint="cs"/>
          <w:b/>
          <w:spacing w:val="0"/>
          <w:szCs w:val="24"/>
          <w:rtl/>
        </w:rPr>
        <w:t>מרים חסן עבד אלקרים חמאד נ' שר הביטחון</w:t>
      </w:r>
      <w:r w:rsidRPr="00643EF4">
        <w:rPr>
          <w:rFonts w:hint="cs"/>
          <w:rtl/>
        </w:rPr>
        <w:t xml:space="preserve"> (25.12.2014), שדן בהוצאתם לפועל של צווי הריסה, שיצאו מטעם משיבי הממשלה שם, כנגד מבנים ביישוב </w:t>
      </w:r>
      <w:r w:rsidRPr="00643EF4">
        <w:rPr>
          <w:rFonts w:ascii="Century" w:hAnsi="Century" w:cs="Miriam" w:hint="cs"/>
          <w:b/>
          <w:spacing w:val="0"/>
          <w:szCs w:val="24"/>
          <w:rtl/>
        </w:rPr>
        <w:t>עמונה</w:t>
      </w:r>
      <w:r w:rsidRPr="00643EF4">
        <w:rPr>
          <w:rFonts w:hint="cs"/>
          <w:rtl/>
        </w:rPr>
        <w:t>, התייחסתי להתפתחויות הצפויות ולהשלכות של אותו עניין, והתבטאתי כך:</w:t>
      </w:r>
      <w:r w:rsidRPr="00643EF4">
        <w:rPr>
          <w:rFonts w:ascii="Century" w:hAnsi="Century" w:cs="Miriam" w:hint="cs"/>
          <w:b/>
          <w:spacing w:val="0"/>
          <w:szCs w:val="24"/>
          <w:rtl/>
        </w:rPr>
        <w:t xml:space="preserve">   </w:t>
      </w:r>
    </w:p>
    <w:p w14:paraId="099CCF00" w14:textId="77777777" w:rsidR="00333662" w:rsidRPr="00643EF4" w:rsidRDefault="00333662" w:rsidP="00333662">
      <w:pPr>
        <w:pStyle w:val="Ruller41"/>
        <w:rPr>
          <w:rtl/>
        </w:rPr>
      </w:pPr>
    </w:p>
    <w:p w14:paraId="5FBDF65C" w14:textId="77777777" w:rsidR="00333662" w:rsidRPr="00643EF4" w:rsidRDefault="00333662" w:rsidP="00333662">
      <w:pPr>
        <w:pStyle w:val="Ruller5"/>
        <w:rPr>
          <w:rtl/>
        </w:rPr>
      </w:pPr>
      <w:r w:rsidRPr="00643EF4">
        <w:rPr>
          <w:rFonts w:hint="cs"/>
          <w:rtl/>
        </w:rPr>
        <w:t>"1.</w:t>
      </w:r>
      <w:r w:rsidRPr="00643EF4">
        <w:rPr>
          <w:rFonts w:hint="cs"/>
          <w:rtl/>
        </w:rPr>
        <w:tab/>
        <w:t xml:space="preserve">אני מצטרף בהסכמה לפסק-דינו של חברי, הנשיא </w:t>
      </w:r>
      <w:r w:rsidRPr="00643EF4">
        <w:rPr>
          <w:rFonts w:ascii="Times New Roman" w:hAnsi="Times New Roman" w:cs="Miriam" w:hint="cs"/>
          <w:spacing w:val="0"/>
          <w:sz w:val="28"/>
          <w:szCs w:val="24"/>
          <w:rtl/>
        </w:rPr>
        <w:t>א' גרוניס</w:t>
      </w:r>
      <w:r w:rsidRPr="00643EF4">
        <w:rPr>
          <w:rFonts w:hint="cs"/>
          <w:rtl/>
        </w:rPr>
        <w:t xml:space="preserve">, </w:t>
      </w:r>
      <w:r w:rsidRPr="00643EF4">
        <w:rPr>
          <w:rFonts w:ascii="Century" w:hAnsi="Century" w:cs="Miriam" w:hint="cs"/>
          <w:b/>
          <w:spacing w:val="0"/>
          <w:szCs w:val="24"/>
          <w:rtl/>
        </w:rPr>
        <w:t>שבא בעקבות הודעות שמסרו המשיבים 4-1 בתיק זה</w:t>
      </w:r>
      <w:r w:rsidRPr="00643EF4">
        <w:rPr>
          <w:rFonts w:hint="cs"/>
          <w:rtl/>
        </w:rPr>
        <w:t xml:space="preserve">. במסגרת זו </w:t>
      </w:r>
      <w:r w:rsidRPr="00643EF4">
        <w:rPr>
          <w:rFonts w:ascii="Century" w:hAnsi="Century" w:cs="Miriam" w:hint="cs"/>
          <w:b/>
          <w:spacing w:val="0"/>
          <w:szCs w:val="24"/>
          <w:rtl/>
        </w:rPr>
        <w:t>התחייבו המשיבים הנ"ל</w:t>
      </w:r>
      <w:r w:rsidRPr="00643EF4">
        <w:rPr>
          <w:rFonts w:hint="cs"/>
          <w:rtl/>
        </w:rPr>
        <w:t xml:space="preserve"> לבצע את צווי ההריסה שהוצאו לגבי המבנים שנבנו ללא היתר כדין במאחז עמונה – על גבי מקרקעין פרטיים מוסדרים הרשומים על שם תושבי האזור כבעלים, וזאת מחוץ לתחום כל תכנית מאושרת ומעבר לתחום ישוב, או לתחום שיפוטה של רשות מקומית מוכרת כלשהי. התחייבות זו ניתנה בשעתו אף שבסדרת העתירות הקודמת במכלול (</w:t>
      </w:r>
      <w:r w:rsidRPr="00643EF4">
        <w:rPr>
          <w:rtl/>
        </w:rPr>
        <w:t>בג"ץ 6357/05</w:t>
      </w:r>
      <w:r w:rsidRPr="00643EF4">
        <w:rPr>
          <w:rFonts w:hint="cs"/>
          <w:rtl/>
        </w:rPr>
        <w:t xml:space="preserve">, </w:t>
      </w:r>
      <w:r w:rsidRPr="00643EF4">
        <w:rPr>
          <w:rtl/>
        </w:rPr>
        <w:t>בג"ץ 851/06</w:t>
      </w:r>
      <w:r w:rsidRPr="00643EF4">
        <w:rPr>
          <w:rFonts w:hint="cs"/>
          <w:rtl/>
        </w:rPr>
        <w:t xml:space="preserve">, </w:t>
      </w:r>
      <w:r w:rsidRPr="00643EF4">
        <w:rPr>
          <w:rtl/>
        </w:rPr>
        <w:t>בג"ץ 1019/06</w:t>
      </w:r>
      <w:r w:rsidRPr="00643EF4">
        <w:rPr>
          <w:rFonts w:hint="cs"/>
          <w:rtl/>
        </w:rPr>
        <w:t xml:space="preserve">) </w:t>
      </w:r>
      <w:r w:rsidRPr="00643EF4">
        <w:rPr>
          <w:rFonts w:ascii="Century" w:hAnsi="Century" w:cs="Miriam" w:hint="cs"/>
          <w:bCs/>
          <w:spacing w:val="0"/>
          <w:szCs w:val="24"/>
          <w:rtl/>
        </w:rPr>
        <w:t>התבקש פינויים של תשעה מבני קבע בישוב בלבד</w:t>
      </w:r>
      <w:r w:rsidRPr="00643EF4">
        <w:rPr>
          <w:rFonts w:ascii="Century" w:hAnsi="Century" w:cs="Miriam" w:hint="cs"/>
          <w:b/>
          <w:spacing w:val="0"/>
          <w:szCs w:val="24"/>
          <w:rtl/>
        </w:rPr>
        <w:t xml:space="preserve"> (והעותרים לא היו צד להליכים הנ"ל, על אף שיכולים היו לכאורה להצטרף אליהם).</w:t>
      </w:r>
      <w:r w:rsidRPr="00643EF4">
        <w:rPr>
          <w:rFonts w:hint="cs"/>
          <w:rtl/>
        </w:rPr>
        <w:t xml:space="preserve"> </w:t>
      </w:r>
    </w:p>
    <w:p w14:paraId="15A10C94" w14:textId="77777777" w:rsidR="00333662" w:rsidRPr="00643EF4" w:rsidRDefault="00333662" w:rsidP="00333662">
      <w:pPr>
        <w:pStyle w:val="Ruller5"/>
        <w:rPr>
          <w:rtl/>
        </w:rPr>
      </w:pPr>
    </w:p>
    <w:p w14:paraId="5E6C457B" w14:textId="77777777" w:rsidR="00333662" w:rsidRPr="00643EF4" w:rsidRDefault="00333662" w:rsidP="00333662">
      <w:pPr>
        <w:pStyle w:val="Ruller5"/>
      </w:pPr>
      <w:r w:rsidRPr="00643EF4">
        <w:rPr>
          <w:rFonts w:hint="cs"/>
          <w:rtl/>
        </w:rPr>
        <w:t>2.</w:t>
      </w:r>
      <w:r w:rsidRPr="00643EF4">
        <w:rPr>
          <w:rFonts w:hint="cs"/>
          <w:rtl/>
        </w:rPr>
        <w:tab/>
      </w:r>
      <w:r w:rsidRPr="00643EF4">
        <w:rPr>
          <w:rFonts w:hint="cs"/>
          <w:b/>
          <w:bCs/>
          <w:rtl/>
        </w:rPr>
        <w:t>אין</w:t>
      </w:r>
      <w:r w:rsidRPr="00643EF4">
        <w:rPr>
          <w:rFonts w:hint="cs"/>
          <w:rtl/>
        </w:rPr>
        <w:t xml:space="preserve"> בהסכמתי הנ"ל כדי לקבוע מסמרות מבחינתי ביחס למצבים שונים וסוגיות אחרות, שיתכן ויעלו בעתיד בהקשרים כאלה ודומים להם (עיינו והשוו: </w:t>
      </w:r>
      <w:r w:rsidRPr="00643EF4">
        <w:rPr>
          <w:rtl/>
        </w:rPr>
        <w:t>בג"ץ 9732/11</w:t>
      </w:r>
      <w:r w:rsidRPr="00643EF4">
        <w:rPr>
          <w:rFonts w:hint="cs"/>
          <w:rtl/>
        </w:rPr>
        <w:t xml:space="preserve"> </w:t>
      </w:r>
      <w:r w:rsidRPr="00643EF4">
        <w:rPr>
          <w:rFonts w:ascii="Times New Roman" w:hAnsi="Times New Roman" w:cs="Miriam" w:hint="cs"/>
          <w:spacing w:val="0"/>
          <w:sz w:val="28"/>
          <w:szCs w:val="24"/>
          <w:rtl/>
        </w:rPr>
        <w:t>זכרייא בכרי נ' ועדת העררים הצבאית באזור יהודה ושומרון</w:t>
      </w:r>
      <w:r w:rsidRPr="00643EF4">
        <w:rPr>
          <w:rFonts w:hint="cs"/>
          <w:rtl/>
        </w:rPr>
        <w:t xml:space="preserve"> (1.1.2012); </w:t>
      </w:r>
      <w:r w:rsidRPr="00643EF4">
        <w:rPr>
          <w:rtl/>
        </w:rPr>
        <w:t>בג"ץ 9669/10</w:t>
      </w:r>
      <w:r w:rsidRPr="00643EF4">
        <w:rPr>
          <w:rFonts w:hint="cs"/>
          <w:rtl/>
        </w:rPr>
        <w:t xml:space="preserve">; </w:t>
      </w:r>
      <w:r w:rsidRPr="00643EF4">
        <w:rPr>
          <w:rtl/>
        </w:rPr>
        <w:t>בג"ץ 6528/13</w:t>
      </w:r>
      <w:r w:rsidRPr="00643EF4">
        <w:rPr>
          <w:rFonts w:hint="cs"/>
          <w:rtl/>
        </w:rPr>
        <w:t xml:space="preserve"> </w:t>
      </w:r>
      <w:r w:rsidRPr="00643EF4">
        <w:rPr>
          <w:rFonts w:ascii="Times New Roman" w:hAnsi="Times New Roman" w:cs="Miriam" w:hint="cs"/>
          <w:spacing w:val="0"/>
          <w:sz w:val="28"/>
          <w:szCs w:val="24"/>
          <w:rtl/>
        </w:rPr>
        <w:t>עבד אל רחמן אחמד, עבד אל רחמן קאסם נ' שר הבטחון</w:t>
      </w:r>
      <w:r w:rsidRPr="00643EF4">
        <w:rPr>
          <w:rFonts w:hint="cs"/>
          <w:rtl/>
        </w:rPr>
        <w:t xml:space="preserve"> (8.9.2014)). </w:t>
      </w:r>
    </w:p>
    <w:p w14:paraId="7AB276F7" w14:textId="77777777" w:rsidR="00333662" w:rsidRPr="00643EF4" w:rsidRDefault="00333662" w:rsidP="00333662">
      <w:pPr>
        <w:pStyle w:val="Ruller5"/>
        <w:rPr>
          <w:rtl/>
        </w:rPr>
      </w:pPr>
    </w:p>
    <w:p w14:paraId="2B8AE887" w14:textId="77777777" w:rsidR="00333662" w:rsidRPr="00643EF4" w:rsidRDefault="00333662" w:rsidP="00333662">
      <w:pPr>
        <w:pStyle w:val="Ruller5"/>
        <w:rPr>
          <w:rtl/>
        </w:rPr>
      </w:pPr>
      <w:r w:rsidRPr="00643EF4">
        <w:rPr>
          <w:rFonts w:hint="cs"/>
          <w:rtl/>
        </w:rPr>
        <w:tab/>
        <w:t>אינני אף מביע דעתי לגבי היקף חובות המשיבים   3-1, 5 ו-6 לסייע בהמצאת חלופות הולמות למגורי התושבים, שיפונו במסגרת אורכת הזמן שנקצבה בפסק דיננו זה, ולפיצוי שצריך להנתן להם, בשים לב למעורבותם הלכאורית של המשיבים הנ"ל בשיכונם של התושבים במקום."</w:t>
      </w:r>
    </w:p>
    <w:p w14:paraId="0B075432" w14:textId="77777777" w:rsidR="00333662" w:rsidRPr="00643EF4" w:rsidRDefault="00333662" w:rsidP="00333662">
      <w:pPr>
        <w:pStyle w:val="Ruller5"/>
        <w:rPr>
          <w:rtl/>
        </w:rPr>
      </w:pPr>
      <w:r w:rsidRPr="00643EF4">
        <w:rPr>
          <w:rFonts w:hint="cs"/>
          <w:rtl/>
        </w:rPr>
        <w:t xml:space="preserve">(ההדגשות כאן הן שלי ולא הופיעו במקור </w:t>
      </w:r>
      <w:r w:rsidRPr="00643EF4">
        <w:rPr>
          <w:rtl/>
        </w:rPr>
        <w:t>–</w:t>
      </w:r>
      <w:r w:rsidRPr="00643EF4">
        <w:rPr>
          <w:rFonts w:hint="cs"/>
          <w:rtl/>
        </w:rPr>
        <w:t xml:space="preserve"> </w:t>
      </w:r>
      <w:r w:rsidRPr="00643EF4">
        <w:rPr>
          <w:rFonts w:ascii="Century" w:hAnsi="Century" w:cs="Miriam" w:hint="cs"/>
          <w:b/>
          <w:spacing w:val="0"/>
          <w:szCs w:val="24"/>
          <w:rtl/>
        </w:rPr>
        <w:t>ח"מ</w:t>
      </w:r>
      <w:r w:rsidRPr="00643EF4">
        <w:rPr>
          <w:rFonts w:hint="cs"/>
          <w:rtl/>
        </w:rPr>
        <w:t>).</w:t>
      </w:r>
    </w:p>
    <w:p w14:paraId="3335AAC7" w14:textId="77777777" w:rsidR="00333662" w:rsidRPr="00643EF4" w:rsidRDefault="00333662" w:rsidP="00333662">
      <w:pPr>
        <w:pStyle w:val="Ruller41"/>
        <w:rPr>
          <w:rtl/>
        </w:rPr>
      </w:pPr>
    </w:p>
    <w:p w14:paraId="2CE55901" w14:textId="77777777" w:rsidR="00333662" w:rsidRPr="00643EF4" w:rsidRDefault="00333662" w:rsidP="00333662">
      <w:pPr>
        <w:pStyle w:val="Ruller41"/>
        <w:rPr>
          <w:rtl/>
        </w:rPr>
      </w:pPr>
      <w:r w:rsidRPr="00643EF4">
        <w:rPr>
          <w:rtl/>
        </w:rPr>
        <w:tab/>
      </w:r>
      <w:r w:rsidRPr="00643EF4">
        <w:rPr>
          <w:rFonts w:hint="cs"/>
          <w:rtl/>
        </w:rPr>
        <w:t xml:space="preserve">עיינו גם בהחלטה מתאריך 14.11.2016, שם ציינתי כי אין באמור בהחלטה האמורה כדי לגרוע מהערותיי במסגרת פסק הדין המקורי. </w:t>
      </w:r>
    </w:p>
    <w:p w14:paraId="7594447E" w14:textId="77777777" w:rsidR="00333662" w:rsidRPr="00643EF4" w:rsidRDefault="00333662" w:rsidP="00333662">
      <w:pPr>
        <w:pStyle w:val="Ruller41"/>
        <w:rPr>
          <w:rtl/>
        </w:rPr>
      </w:pPr>
    </w:p>
    <w:p w14:paraId="54147A67" w14:textId="77777777" w:rsidR="00333662" w:rsidRPr="00643EF4" w:rsidRDefault="00333662" w:rsidP="00333662">
      <w:pPr>
        <w:pStyle w:val="Ruller41"/>
        <w:rPr>
          <w:rtl/>
        </w:rPr>
      </w:pPr>
      <w:r w:rsidRPr="00643EF4">
        <w:rPr>
          <w:rFonts w:hint="cs"/>
          <w:rtl/>
        </w:rPr>
        <w:t>3.</w:t>
      </w:r>
      <w:r w:rsidRPr="00643EF4">
        <w:rPr>
          <w:rtl/>
        </w:rPr>
        <w:tab/>
      </w:r>
      <w:r w:rsidRPr="00643EF4">
        <w:rPr>
          <w:rFonts w:hint="cs"/>
          <w:rtl/>
        </w:rPr>
        <w:t xml:space="preserve">כפי שמתואר ע"י חברתי הנשיאה בחוות דעתה, במהלך השנים (וביתר שאת לאחר פסק הדין ב-בג"ץ 9949/08 הנ"ל) הסתבר כי נכון </w:t>
      </w:r>
      <w:r w:rsidRPr="00643EF4">
        <w:rPr>
          <w:rFonts w:hint="cs"/>
          <w:b/>
          <w:bCs/>
          <w:rtl/>
        </w:rPr>
        <w:t xml:space="preserve">לשנת 2016 </w:t>
      </w:r>
      <w:r w:rsidRPr="00643EF4">
        <w:rPr>
          <w:rFonts w:hint="cs"/>
          <w:rtl/>
        </w:rPr>
        <w:t>היו באזור יהודה ושומרון 3,455 מבני קבע ומבנים יבילים של התיישבות יהודית, שהוקמו על מקרקעין בבעלות פלסטינית פרטית (פירוט ראו שם בפיסקה 16 לחוות דעתה).</w:t>
      </w:r>
    </w:p>
    <w:p w14:paraId="30A89929" w14:textId="77777777" w:rsidR="00333662" w:rsidRPr="00643EF4" w:rsidRDefault="00333662" w:rsidP="00333662">
      <w:pPr>
        <w:pStyle w:val="Ruller41"/>
        <w:rPr>
          <w:rtl/>
        </w:rPr>
      </w:pPr>
    </w:p>
    <w:p w14:paraId="4F088845" w14:textId="77777777" w:rsidR="00333662" w:rsidRPr="00643EF4" w:rsidRDefault="00333662" w:rsidP="00333662">
      <w:pPr>
        <w:pStyle w:val="Ruller41"/>
        <w:rPr>
          <w:rtl/>
        </w:rPr>
      </w:pPr>
      <w:r w:rsidRPr="00643EF4">
        <w:rPr>
          <w:rtl/>
        </w:rPr>
        <w:lastRenderedPageBreak/>
        <w:tab/>
      </w:r>
      <w:r w:rsidRPr="00643EF4">
        <w:rPr>
          <w:rFonts w:hint="cs"/>
          <w:rtl/>
        </w:rPr>
        <w:t xml:space="preserve">כדי לנסות ולפתור באופן גורף את מעמדם של כלל המבנים הנ"ל, שיש בהם שונות רבה </w:t>
      </w:r>
      <w:r w:rsidRPr="00643EF4">
        <w:rPr>
          <w:rtl/>
        </w:rPr>
        <w:t>–</w:t>
      </w:r>
      <w:r w:rsidRPr="00643EF4">
        <w:rPr>
          <w:rFonts w:hint="cs"/>
          <w:rtl/>
        </w:rPr>
        <w:t xml:space="preserve"> נחקק ה</w:t>
      </w:r>
      <w:r w:rsidRPr="00643EF4">
        <w:rPr>
          <w:rFonts w:ascii="Century" w:hAnsi="Century" w:cs="Miriam" w:hint="cs"/>
          <w:b/>
          <w:spacing w:val="0"/>
          <w:szCs w:val="24"/>
          <w:rtl/>
        </w:rPr>
        <w:t xml:space="preserve">חוק להסדרת ההתיישבות ביהודה ושומרון, תשע"ז </w:t>
      </w:r>
      <w:r w:rsidRPr="00643EF4">
        <w:rPr>
          <w:rFonts w:ascii="Century" w:hAnsi="Century" w:cs="Miriam"/>
          <w:b/>
          <w:spacing w:val="0"/>
          <w:szCs w:val="24"/>
          <w:rtl/>
        </w:rPr>
        <w:t>–</w:t>
      </w:r>
      <w:r w:rsidRPr="00643EF4">
        <w:rPr>
          <w:rFonts w:ascii="Century" w:hAnsi="Century" w:cs="Miriam" w:hint="cs"/>
          <w:b/>
          <w:spacing w:val="0"/>
          <w:szCs w:val="24"/>
          <w:rtl/>
        </w:rPr>
        <w:t xml:space="preserve"> 2017</w:t>
      </w:r>
      <w:r w:rsidRPr="00643EF4">
        <w:rPr>
          <w:rFonts w:hint="cs"/>
          <w:rtl/>
        </w:rPr>
        <w:t xml:space="preserve"> (לעיל ולהלן: </w:t>
      </w:r>
      <w:r w:rsidRPr="00643EF4">
        <w:rPr>
          <w:rFonts w:ascii="Century" w:hAnsi="Century" w:cs="Miriam" w:hint="cs"/>
          <w:b/>
          <w:spacing w:val="0"/>
          <w:szCs w:val="24"/>
          <w:rtl/>
        </w:rPr>
        <w:t>חוק ההסדרה</w:t>
      </w:r>
      <w:r w:rsidRPr="00643EF4">
        <w:rPr>
          <w:rFonts w:hint="cs"/>
          <w:rtl/>
        </w:rPr>
        <w:t xml:space="preserve">, או </w:t>
      </w:r>
      <w:r w:rsidRPr="00643EF4">
        <w:rPr>
          <w:rFonts w:ascii="Century" w:hAnsi="Century" w:cs="Miriam" w:hint="cs"/>
          <w:b/>
          <w:spacing w:val="0"/>
          <w:szCs w:val="24"/>
          <w:rtl/>
        </w:rPr>
        <w:t>החוק</w:t>
      </w:r>
      <w:r w:rsidRPr="00643EF4">
        <w:rPr>
          <w:rFonts w:hint="cs"/>
          <w:rtl/>
        </w:rPr>
        <w:t xml:space="preserve">), אשר עומד במרכזן של העתירות שבפנינו, ומבקש, כאמור </w:t>
      </w:r>
      <w:r w:rsidRPr="00643EF4">
        <w:rPr>
          <w:rFonts w:hint="cs"/>
          <w:b/>
          <w:bCs/>
          <w:rtl/>
        </w:rPr>
        <w:t>בסעיף המטרה</w:t>
      </w:r>
      <w:r w:rsidRPr="00643EF4">
        <w:rPr>
          <w:rFonts w:hint="cs"/>
          <w:rtl/>
        </w:rPr>
        <w:t xml:space="preserve"> שבו (סעיף 1 ל</w:t>
      </w:r>
      <w:r w:rsidRPr="00643EF4">
        <w:rPr>
          <w:rFonts w:ascii="Century" w:hAnsi="Century" w:cs="Miriam" w:hint="cs"/>
          <w:b/>
          <w:spacing w:val="0"/>
          <w:szCs w:val="24"/>
          <w:rtl/>
        </w:rPr>
        <w:t>חוק</w:t>
      </w:r>
      <w:r w:rsidRPr="00643EF4">
        <w:rPr>
          <w:rFonts w:hint="cs"/>
          <w:rtl/>
        </w:rPr>
        <w:t>): "להסדיר את ההתיישבות ביהודה ושומרון ולאפשר את המשך ביסוסה ופיתוחה."</w:t>
      </w:r>
    </w:p>
    <w:p w14:paraId="156098C2" w14:textId="77777777" w:rsidR="00333662" w:rsidRPr="00643EF4" w:rsidRDefault="00333662" w:rsidP="00333662">
      <w:pPr>
        <w:pStyle w:val="Ruller41"/>
        <w:rPr>
          <w:rtl/>
        </w:rPr>
      </w:pPr>
    </w:p>
    <w:p w14:paraId="35D10E36" w14:textId="77777777" w:rsidR="00333662" w:rsidRPr="00643EF4" w:rsidRDefault="00333662" w:rsidP="00333662">
      <w:pPr>
        <w:pStyle w:val="Ruller41"/>
        <w:rPr>
          <w:rtl/>
        </w:rPr>
      </w:pPr>
      <w:r w:rsidRPr="00643EF4">
        <w:rPr>
          <w:rtl/>
        </w:rPr>
        <w:tab/>
      </w:r>
      <w:r w:rsidRPr="00643EF4">
        <w:rPr>
          <w:rFonts w:hint="cs"/>
          <w:rtl/>
        </w:rPr>
        <w:t>מבין שלל השאלות המשפטיות ש</w:t>
      </w:r>
      <w:r w:rsidRPr="00643EF4">
        <w:rPr>
          <w:rFonts w:ascii="Century" w:hAnsi="Century" w:cs="Miriam" w:hint="cs"/>
          <w:b/>
          <w:spacing w:val="0"/>
          <w:szCs w:val="24"/>
          <w:rtl/>
        </w:rPr>
        <w:t xml:space="preserve">חוק ההסדרה </w:t>
      </w:r>
      <w:r w:rsidRPr="00643EF4">
        <w:rPr>
          <w:rFonts w:hint="cs"/>
          <w:rtl/>
        </w:rPr>
        <w:t xml:space="preserve">מעורר </w:t>
      </w:r>
      <w:r w:rsidRPr="00643EF4">
        <w:rPr>
          <w:rtl/>
        </w:rPr>
        <w:t>–</w:t>
      </w:r>
      <w:r w:rsidRPr="00643EF4">
        <w:rPr>
          <w:rFonts w:hint="cs"/>
          <w:rtl/>
        </w:rPr>
        <w:t xml:space="preserve"> החלטנו להתמקד בסוגיה האם </w:t>
      </w:r>
      <w:r w:rsidRPr="00643EF4">
        <w:rPr>
          <w:rFonts w:ascii="Century" w:hAnsi="Century" w:cs="Miriam" w:hint="cs"/>
          <w:b/>
          <w:spacing w:val="0"/>
          <w:szCs w:val="24"/>
          <w:rtl/>
        </w:rPr>
        <w:t>החוק</w:t>
      </w:r>
      <w:r w:rsidRPr="00643EF4">
        <w:rPr>
          <w:rFonts w:hint="cs"/>
          <w:rtl/>
        </w:rPr>
        <w:t xml:space="preserve"> צולח את "פיסקת ההגבלה" הקבועה בסעיף 8 ל</w:t>
      </w:r>
      <w:r w:rsidRPr="00643EF4">
        <w:rPr>
          <w:rFonts w:ascii="Century" w:hAnsi="Century" w:cs="Miriam" w:hint="cs"/>
          <w:b/>
          <w:spacing w:val="0"/>
          <w:szCs w:val="24"/>
          <w:rtl/>
        </w:rPr>
        <w:t>חוק יסוד: כבוד האדם וחירותו</w:t>
      </w:r>
      <w:r w:rsidRPr="00643EF4">
        <w:rPr>
          <w:rFonts w:hint="cs"/>
          <w:rtl/>
        </w:rPr>
        <w:t>, שכן כולי עלמא לא פליגי ש</w:t>
      </w:r>
      <w:r w:rsidRPr="00643EF4">
        <w:rPr>
          <w:rFonts w:ascii="Century" w:hAnsi="Century" w:cs="Miriam" w:hint="cs"/>
          <w:b/>
          <w:spacing w:val="0"/>
          <w:szCs w:val="24"/>
          <w:rtl/>
        </w:rPr>
        <w:t>החוק</w:t>
      </w:r>
      <w:r w:rsidRPr="00643EF4">
        <w:rPr>
          <w:rFonts w:hint="cs"/>
          <w:rtl/>
        </w:rPr>
        <w:t xml:space="preserve"> </w:t>
      </w:r>
      <w:r w:rsidRPr="00643EF4">
        <w:rPr>
          <w:rFonts w:hint="cs"/>
          <w:b/>
          <w:bCs/>
          <w:rtl/>
        </w:rPr>
        <w:t>פוגע</w:t>
      </w:r>
      <w:r w:rsidRPr="00643EF4">
        <w:rPr>
          <w:rFonts w:hint="cs"/>
          <w:rtl/>
        </w:rPr>
        <w:t xml:space="preserve"> בזכויות קנייניות של הפלסטינים, ובזכותם לשוויון, מה גם שהם "תושבים מוגנים" (</w:t>
      </w:r>
      <w:r w:rsidRPr="00643EF4">
        <w:rPr>
          <w:rFonts w:ascii="Century" w:hAnsi="Century"/>
        </w:rPr>
        <w:t>Protected Inhabitants</w:t>
      </w:r>
      <w:r w:rsidRPr="00643EF4">
        <w:rPr>
          <w:rFonts w:hint="cs"/>
          <w:rtl/>
        </w:rPr>
        <w:t xml:space="preserve">) באזור (את שאר הסוגיות אני מעדיף להשאיר בצריך עיון לעתיד לבוא). </w:t>
      </w:r>
    </w:p>
    <w:p w14:paraId="301B0F40" w14:textId="77777777" w:rsidR="00333662" w:rsidRPr="00643EF4" w:rsidRDefault="00333662" w:rsidP="00333662">
      <w:pPr>
        <w:pStyle w:val="Ruller41"/>
        <w:rPr>
          <w:rtl/>
        </w:rPr>
      </w:pPr>
    </w:p>
    <w:p w14:paraId="1924D7BB" w14:textId="77777777" w:rsidR="00333662" w:rsidRPr="00643EF4" w:rsidRDefault="00333662" w:rsidP="00333662">
      <w:pPr>
        <w:pStyle w:val="Ruller41"/>
        <w:rPr>
          <w:rtl/>
        </w:rPr>
      </w:pPr>
      <w:r w:rsidRPr="00643EF4">
        <w:rPr>
          <w:rtl/>
        </w:rPr>
        <w:tab/>
      </w:r>
      <w:r w:rsidRPr="00643EF4">
        <w:rPr>
          <w:rFonts w:hint="cs"/>
          <w:rtl/>
        </w:rPr>
        <w:t xml:space="preserve">לדיון בתחולת "פיסקת ההגבלה" על ענייננו, אעבור איפוא עתה. </w:t>
      </w:r>
    </w:p>
    <w:p w14:paraId="3574CD5E" w14:textId="77777777" w:rsidR="00333662" w:rsidRPr="00643EF4" w:rsidRDefault="00333662" w:rsidP="00333662">
      <w:pPr>
        <w:pStyle w:val="Ruller41"/>
        <w:rPr>
          <w:rtl/>
        </w:rPr>
      </w:pPr>
    </w:p>
    <w:p w14:paraId="5CF75DF9" w14:textId="77777777" w:rsidR="00333662" w:rsidRPr="00643EF4" w:rsidRDefault="00333662" w:rsidP="00333662">
      <w:pPr>
        <w:pStyle w:val="Ruller41"/>
        <w:rPr>
          <w:rtl/>
        </w:rPr>
      </w:pPr>
      <w:r w:rsidRPr="00643EF4">
        <w:rPr>
          <w:rFonts w:hint="cs"/>
          <w:rtl/>
        </w:rPr>
        <w:t>4.</w:t>
      </w:r>
      <w:r w:rsidRPr="00643EF4">
        <w:rPr>
          <w:rFonts w:hint="cs"/>
          <w:rtl/>
        </w:rPr>
        <w:tab/>
        <w:t xml:space="preserve">כידוע כדי שפגיעה בזכות חוקתית תצלח את "פיסקת ההגבלה" ולא             תיפסל </w:t>
      </w:r>
      <w:r w:rsidRPr="00643EF4">
        <w:rPr>
          <w:rtl/>
        </w:rPr>
        <w:t>–</w:t>
      </w:r>
      <w:r w:rsidRPr="00643EF4">
        <w:rPr>
          <w:rFonts w:hint="cs"/>
          <w:rtl/>
        </w:rPr>
        <w:t xml:space="preserve"> עליה לעמוד בארבעה תנאים:</w:t>
      </w:r>
    </w:p>
    <w:p w14:paraId="18DCF698" w14:textId="77777777" w:rsidR="00333662" w:rsidRPr="00643EF4" w:rsidRDefault="00333662" w:rsidP="00333662">
      <w:pPr>
        <w:pStyle w:val="Ruller41"/>
        <w:rPr>
          <w:rtl/>
        </w:rPr>
      </w:pPr>
    </w:p>
    <w:p w14:paraId="6FECF697" w14:textId="77777777" w:rsidR="00333662" w:rsidRPr="00643EF4" w:rsidRDefault="00333662" w:rsidP="00333662">
      <w:pPr>
        <w:pStyle w:val="Ruller41"/>
        <w:rPr>
          <w:rtl/>
        </w:rPr>
      </w:pPr>
      <w:r w:rsidRPr="00643EF4">
        <w:rPr>
          <w:rtl/>
        </w:rPr>
        <w:tab/>
      </w:r>
      <w:r w:rsidRPr="00643EF4">
        <w:rPr>
          <w:rFonts w:hint="cs"/>
          <w:rtl/>
        </w:rPr>
        <w:t>א)</w:t>
      </w:r>
      <w:r w:rsidRPr="00643EF4">
        <w:rPr>
          <w:rtl/>
        </w:rPr>
        <w:tab/>
      </w:r>
      <w:r w:rsidRPr="00643EF4">
        <w:rPr>
          <w:rFonts w:hint="cs"/>
          <w:rtl/>
        </w:rPr>
        <w:t>שהפגיעה תוסדר בחוק, או שתהיה על פי חוק, מכח הסמכה מפורשת בו.</w:t>
      </w:r>
    </w:p>
    <w:p w14:paraId="70BCE2BB" w14:textId="77777777" w:rsidR="00333662" w:rsidRPr="00643EF4" w:rsidRDefault="00333662" w:rsidP="00333662">
      <w:pPr>
        <w:pStyle w:val="Ruller41"/>
        <w:rPr>
          <w:rtl/>
        </w:rPr>
      </w:pPr>
      <w:r w:rsidRPr="00643EF4">
        <w:rPr>
          <w:rtl/>
        </w:rPr>
        <w:tab/>
      </w:r>
      <w:r w:rsidRPr="00643EF4">
        <w:rPr>
          <w:rFonts w:hint="cs"/>
          <w:rtl/>
        </w:rPr>
        <w:t xml:space="preserve">ב) </w:t>
      </w:r>
      <w:r w:rsidRPr="00643EF4">
        <w:rPr>
          <w:rtl/>
        </w:rPr>
        <w:tab/>
      </w:r>
      <w:r w:rsidRPr="00643EF4">
        <w:rPr>
          <w:rFonts w:hint="cs"/>
          <w:rtl/>
        </w:rPr>
        <w:t xml:space="preserve">שהחוק בו כלולה הפגיעה יהלום את ערכיה של מדינת ישראל. </w:t>
      </w:r>
    </w:p>
    <w:p w14:paraId="19532515" w14:textId="77777777" w:rsidR="00333662" w:rsidRPr="00643EF4" w:rsidRDefault="00333662" w:rsidP="00333662">
      <w:pPr>
        <w:pStyle w:val="Ruller41"/>
        <w:rPr>
          <w:rtl/>
        </w:rPr>
      </w:pPr>
      <w:r w:rsidRPr="00643EF4">
        <w:rPr>
          <w:rtl/>
        </w:rPr>
        <w:tab/>
      </w:r>
      <w:r w:rsidRPr="00643EF4">
        <w:rPr>
          <w:rFonts w:hint="cs"/>
          <w:rtl/>
        </w:rPr>
        <w:t xml:space="preserve">ג) </w:t>
      </w:r>
      <w:r w:rsidRPr="00643EF4">
        <w:rPr>
          <w:rtl/>
        </w:rPr>
        <w:tab/>
      </w:r>
      <w:r w:rsidRPr="00643EF4">
        <w:rPr>
          <w:rFonts w:hint="cs"/>
          <w:rtl/>
        </w:rPr>
        <w:t xml:space="preserve">שהחוק האמור יהיה לתכלית ראויה. </w:t>
      </w:r>
    </w:p>
    <w:p w14:paraId="25C267EE" w14:textId="77777777" w:rsidR="00333662" w:rsidRPr="00643EF4" w:rsidRDefault="00333662" w:rsidP="00333662">
      <w:pPr>
        <w:pStyle w:val="Ruller41"/>
        <w:rPr>
          <w:rtl/>
        </w:rPr>
      </w:pPr>
      <w:r w:rsidRPr="00643EF4">
        <w:rPr>
          <w:rtl/>
        </w:rPr>
        <w:tab/>
      </w:r>
      <w:r w:rsidRPr="00643EF4">
        <w:rPr>
          <w:rFonts w:hint="cs"/>
          <w:rtl/>
        </w:rPr>
        <w:t xml:space="preserve">ד)  </w:t>
      </w:r>
      <w:r w:rsidRPr="00643EF4">
        <w:rPr>
          <w:rtl/>
        </w:rPr>
        <w:tab/>
      </w:r>
      <w:r w:rsidRPr="00643EF4">
        <w:rPr>
          <w:rFonts w:hint="cs"/>
          <w:rtl/>
        </w:rPr>
        <w:t xml:space="preserve">שהפגיעה בזכות החוקתית תהיה במידה שאינה עולה על הנדרש. </w:t>
      </w:r>
    </w:p>
    <w:p w14:paraId="2E19CC03" w14:textId="77777777" w:rsidR="00333662" w:rsidRPr="00643EF4" w:rsidRDefault="00333662" w:rsidP="00333662">
      <w:pPr>
        <w:pStyle w:val="Ruller41"/>
        <w:rPr>
          <w:rtl/>
        </w:rPr>
      </w:pPr>
    </w:p>
    <w:p w14:paraId="2EB44B8F" w14:textId="77777777" w:rsidR="00333662" w:rsidRPr="00643EF4" w:rsidRDefault="00333662" w:rsidP="00333662">
      <w:pPr>
        <w:pStyle w:val="Ruller41"/>
        <w:rPr>
          <w:rtl/>
        </w:rPr>
      </w:pPr>
      <w:r w:rsidRPr="00643EF4">
        <w:rPr>
          <w:rFonts w:hint="cs"/>
          <w:rtl/>
        </w:rPr>
        <w:t>5.</w:t>
      </w:r>
      <w:r w:rsidRPr="00643EF4">
        <w:rPr>
          <w:rFonts w:hint="cs"/>
          <w:rtl/>
        </w:rPr>
        <w:tab/>
        <w:t xml:space="preserve">במקרה שלפנינו, אין חולק שהפגיעות הנזכרות בפיסקה 3 שלעיל מעוגנות בחוק, שכן העתירות כולן מכוונות כנגד </w:t>
      </w:r>
      <w:r w:rsidRPr="00643EF4">
        <w:rPr>
          <w:rFonts w:ascii="Century" w:hAnsi="Century" w:cs="Miriam" w:hint="cs"/>
          <w:b/>
          <w:spacing w:val="0"/>
          <w:szCs w:val="24"/>
          <w:rtl/>
        </w:rPr>
        <w:t>חוק ההסדרה</w:t>
      </w:r>
      <w:r w:rsidRPr="00643EF4">
        <w:rPr>
          <w:rFonts w:hint="cs"/>
          <w:rtl/>
        </w:rPr>
        <w:t xml:space="preserve">, שבו מוסדרות הפגיעות ומכוחו הן אמורות להתבצע. </w:t>
      </w:r>
    </w:p>
    <w:p w14:paraId="55C376D4" w14:textId="77777777" w:rsidR="00333662" w:rsidRPr="00643EF4" w:rsidRDefault="00333662" w:rsidP="00333662">
      <w:pPr>
        <w:pStyle w:val="Ruller41"/>
        <w:rPr>
          <w:rtl/>
        </w:rPr>
      </w:pPr>
    </w:p>
    <w:p w14:paraId="46B2809A" w14:textId="77777777" w:rsidR="00333662" w:rsidRPr="00643EF4" w:rsidRDefault="00333662" w:rsidP="00333662">
      <w:pPr>
        <w:pStyle w:val="Ruller41"/>
        <w:rPr>
          <w:rtl/>
        </w:rPr>
      </w:pPr>
      <w:r w:rsidRPr="00643EF4">
        <w:rPr>
          <w:rFonts w:hint="cs"/>
          <w:rtl/>
        </w:rPr>
        <w:t>6.</w:t>
      </w:r>
      <w:r w:rsidRPr="00643EF4">
        <w:rPr>
          <w:rtl/>
        </w:rPr>
        <w:tab/>
      </w:r>
      <w:r w:rsidRPr="00643EF4">
        <w:rPr>
          <w:rFonts w:hint="cs"/>
          <w:rtl/>
        </w:rPr>
        <w:t xml:space="preserve">התקיימותו של התנאי השני הנ"ל (אף שלא היה בו דיון מעמיק, כפי שהעירה חברתי הנשיאה בפיסקה 58 לחוות דעתה) </w:t>
      </w:r>
      <w:r w:rsidRPr="00643EF4">
        <w:rPr>
          <w:rtl/>
        </w:rPr>
        <w:t>–</w:t>
      </w:r>
      <w:r w:rsidRPr="00643EF4">
        <w:rPr>
          <w:rFonts w:hint="cs"/>
          <w:rtl/>
        </w:rPr>
        <w:t xml:space="preserve"> מעוררת לכאורה קושי. עיקר הטעם שבדבר נעוץ בעובדה כי </w:t>
      </w:r>
      <w:r w:rsidRPr="00643EF4">
        <w:rPr>
          <w:rFonts w:ascii="Century" w:hAnsi="Century" w:cs="Miriam" w:hint="cs"/>
          <w:b/>
          <w:spacing w:val="0"/>
          <w:szCs w:val="24"/>
          <w:rtl/>
        </w:rPr>
        <w:t>חוק ההסדרה</w:t>
      </w:r>
      <w:r w:rsidRPr="00643EF4">
        <w:rPr>
          <w:rFonts w:hint="cs"/>
          <w:rtl/>
        </w:rPr>
        <w:t xml:space="preserve">, ככל שיש בו הפקעת זכויות של "תושבים מוגנים" (ולו של זכויות החזקה והשימוש שלהם במקרקעין בלבד) </w:t>
      </w:r>
      <w:r w:rsidRPr="00643EF4">
        <w:rPr>
          <w:rtl/>
        </w:rPr>
        <w:t>–</w:t>
      </w:r>
      <w:r w:rsidRPr="00643EF4">
        <w:rPr>
          <w:rFonts w:hint="cs"/>
          <w:rtl/>
        </w:rPr>
        <w:t xml:space="preserve"> מתעלם מכללים הסכמיים ומנהגיים של המשפט הבינלאומי, אשר אוסרים על נקיטת פעולות שכאלו עד להכרעה מדינית בדבר מעמדו של האזור וההתיישבות בו (איזכור לעיקרון זה מצוי בסעיף 3(2)(ב) סייפא ל</w:t>
      </w:r>
      <w:r w:rsidRPr="00643EF4">
        <w:rPr>
          <w:rFonts w:ascii="Century" w:hAnsi="Century" w:cs="Miriam" w:hint="cs"/>
          <w:b/>
          <w:spacing w:val="0"/>
          <w:szCs w:val="24"/>
          <w:rtl/>
        </w:rPr>
        <w:t>חוק</w:t>
      </w:r>
      <w:r w:rsidRPr="00643EF4">
        <w:rPr>
          <w:rFonts w:hint="cs"/>
          <w:rtl/>
        </w:rPr>
        <w:t>). כמו כן, יש ב</w:t>
      </w:r>
      <w:r w:rsidRPr="00643EF4">
        <w:rPr>
          <w:rFonts w:ascii="Century" w:hAnsi="Century" w:cs="Miriam" w:hint="cs"/>
          <w:b/>
          <w:spacing w:val="0"/>
          <w:szCs w:val="24"/>
          <w:rtl/>
        </w:rPr>
        <w:t xml:space="preserve">חוק ההסדרה </w:t>
      </w:r>
      <w:r w:rsidRPr="00643EF4">
        <w:rPr>
          <w:rFonts w:hint="cs"/>
          <w:rtl/>
        </w:rPr>
        <w:t xml:space="preserve">יסודות הנוגדים לכאורה את האמור בהסכמים פרטניים, שישראל חתומה עליהם עם הפלסטינים, ואותם היא מעלה בפורומים בינלאומיים שונים. בכך יש משום אי התאמה </w:t>
      </w:r>
      <w:r w:rsidRPr="00643EF4">
        <w:rPr>
          <w:rFonts w:ascii="Century" w:hAnsi="Century" w:cs="Miriam" w:hint="cs"/>
          <w:b/>
          <w:spacing w:val="0"/>
          <w:szCs w:val="24"/>
          <w:rtl/>
        </w:rPr>
        <w:t>לערכים</w:t>
      </w:r>
      <w:r w:rsidRPr="00643EF4">
        <w:rPr>
          <w:rFonts w:hint="cs"/>
          <w:rtl/>
        </w:rPr>
        <w:t xml:space="preserve"> של מדינת ישראל, המשתייכת </w:t>
      </w:r>
      <w:r w:rsidRPr="00643EF4">
        <w:rPr>
          <w:rFonts w:hint="cs"/>
          <w:rtl/>
        </w:rPr>
        <w:lastRenderedPageBreak/>
        <w:t>למשפחת העמים ואמורה לכבד הסכמים בינלאומיים שהיא קשורה בהם, והתחייבויות שקיבלה על עצמה במסגרתם.</w:t>
      </w:r>
    </w:p>
    <w:p w14:paraId="48FC68C4" w14:textId="77777777" w:rsidR="00333662" w:rsidRPr="00643EF4" w:rsidRDefault="00333662" w:rsidP="00333662">
      <w:pPr>
        <w:pStyle w:val="Ruller41"/>
        <w:rPr>
          <w:rtl/>
        </w:rPr>
      </w:pPr>
    </w:p>
    <w:p w14:paraId="164BF25C" w14:textId="59EADF88" w:rsidR="00333662" w:rsidRPr="00643EF4" w:rsidRDefault="00333662" w:rsidP="00493480">
      <w:pPr>
        <w:pStyle w:val="Ruller41"/>
        <w:rPr>
          <w:rtl/>
        </w:rPr>
      </w:pPr>
      <w:r w:rsidRPr="00643EF4">
        <w:rPr>
          <w:rFonts w:hint="cs"/>
          <w:rtl/>
        </w:rPr>
        <w:t xml:space="preserve">עיינו לגבי המשפט הבינלאומי: </w:t>
      </w:r>
      <w:r w:rsidRPr="00643EF4">
        <w:rPr>
          <w:rFonts w:ascii="Century" w:hAnsi="Century"/>
          <w:smallCaps/>
        </w:rPr>
        <w:t>Eyal Benvenisti, The International LAw of Occupation 69 (</w:t>
      </w:r>
      <w:r w:rsidRPr="00643EF4">
        <w:rPr>
          <w:rFonts w:ascii="Century" w:hAnsi="Century"/>
        </w:rPr>
        <w:t>2</w:t>
      </w:r>
      <w:r w:rsidRPr="00643EF4">
        <w:rPr>
          <w:rFonts w:ascii="Century" w:hAnsi="Century"/>
          <w:vertAlign w:val="superscript"/>
        </w:rPr>
        <w:t>nd</w:t>
      </w:r>
      <w:r w:rsidRPr="00643EF4">
        <w:rPr>
          <w:rFonts w:ascii="Century" w:hAnsi="Century"/>
        </w:rPr>
        <w:t xml:space="preserve"> ed</w:t>
      </w:r>
      <w:r w:rsidRPr="00643EF4">
        <w:rPr>
          <w:rFonts w:ascii="Century" w:hAnsi="Century"/>
          <w:smallCaps/>
        </w:rPr>
        <w:t xml:space="preserve">. </w:t>
      </w:r>
      <w:r w:rsidRPr="00643EF4">
        <w:rPr>
          <w:rFonts w:ascii="Century" w:hAnsi="Century"/>
        </w:rPr>
        <w:t>O</w:t>
      </w:r>
      <w:r w:rsidRPr="00643EF4">
        <w:rPr>
          <w:rFonts w:ascii="Century" w:hAnsi="Century"/>
          <w:smallCaps/>
        </w:rPr>
        <w:t xml:space="preserve">UP 2012); </w:t>
      </w:r>
      <w:r w:rsidRPr="00643EF4">
        <w:rPr>
          <w:rFonts w:ascii="Century" w:hAnsi="Century"/>
        </w:rPr>
        <w:t xml:space="preserve">Ronit Levin-Schnur, "Private Property and Public Power in the Occupied West Bank", 6 </w:t>
      </w:r>
      <w:r w:rsidRPr="00643EF4">
        <w:rPr>
          <w:rFonts w:ascii="Century" w:hAnsi="Century"/>
          <w:smallCaps/>
        </w:rPr>
        <w:t>EPLJ</w:t>
      </w:r>
      <w:r w:rsidRPr="00643EF4">
        <w:rPr>
          <w:rFonts w:ascii="Century" w:hAnsi="Century"/>
        </w:rPr>
        <w:t xml:space="preserve"> 122-141 (2017)</w:t>
      </w:r>
      <w:r w:rsidR="00493480">
        <w:rPr>
          <w:rFonts w:ascii="Century" w:hAnsi="Century"/>
        </w:rPr>
        <w:t>.</w:t>
      </w:r>
    </w:p>
    <w:p w14:paraId="7A9D6E03" w14:textId="77777777" w:rsidR="00333662" w:rsidRPr="00643EF4" w:rsidRDefault="00333662" w:rsidP="00333662">
      <w:pPr>
        <w:pStyle w:val="Ruller41"/>
        <w:rPr>
          <w:rtl/>
        </w:rPr>
      </w:pPr>
    </w:p>
    <w:p w14:paraId="04926AF2" w14:textId="2E383125" w:rsidR="00333662" w:rsidRPr="00643EF4" w:rsidRDefault="00333662" w:rsidP="00493480">
      <w:pPr>
        <w:pStyle w:val="Ruller41"/>
        <w:rPr>
          <w:rFonts w:ascii="Century" w:hAnsi="Century"/>
          <w:smallCaps/>
          <w:rtl/>
        </w:rPr>
      </w:pPr>
      <w:r w:rsidRPr="00643EF4">
        <w:rPr>
          <w:rtl/>
        </w:rPr>
        <w:tab/>
      </w:r>
      <w:r w:rsidRPr="00643EF4">
        <w:rPr>
          <w:rFonts w:hint="cs"/>
          <w:rtl/>
        </w:rPr>
        <w:t xml:space="preserve">באשר </w:t>
      </w:r>
      <w:r w:rsidRPr="00643EF4">
        <w:rPr>
          <w:rFonts w:ascii="Century" w:hAnsi="Century" w:cs="Miriam" w:hint="cs"/>
          <w:b/>
          <w:spacing w:val="0"/>
          <w:szCs w:val="24"/>
          <w:rtl/>
        </w:rPr>
        <w:t xml:space="preserve">להסכמי אוסלו </w:t>
      </w:r>
      <w:r w:rsidRPr="00643EF4">
        <w:rPr>
          <w:rFonts w:hint="cs"/>
          <w:rtl/>
        </w:rPr>
        <w:t xml:space="preserve">(ובמיוחד ביחס לסעיפים 16 ו-22 לפרוטוקול </w:t>
      </w:r>
      <w:r w:rsidRPr="00643EF4">
        <w:rPr>
          <w:rFonts w:hint="cs"/>
        </w:rPr>
        <w:t>III</w:t>
      </w:r>
      <w:r w:rsidRPr="00643EF4">
        <w:rPr>
          <w:rFonts w:ascii="Century" w:hAnsi="Century" w:cs="Miriam" w:hint="cs"/>
          <w:b/>
          <w:spacing w:val="0"/>
          <w:szCs w:val="24"/>
          <w:rtl/>
        </w:rPr>
        <w:t xml:space="preserve"> </w:t>
      </w:r>
      <w:r w:rsidRPr="00643EF4">
        <w:rPr>
          <w:rFonts w:hint="cs"/>
          <w:rtl/>
        </w:rPr>
        <w:t>להסכם ביניים ישראלי-פלסטיני בדבר הגדה המערבית ורצועת עזה, שנחתם בוושינגטון</w:t>
      </w:r>
      <w:r w:rsidRPr="00643EF4">
        <w:rPr>
          <w:rFonts w:ascii="Century" w:hAnsi="Century" w:cs="Miriam" w:hint="cs"/>
          <w:b/>
          <w:spacing w:val="0"/>
          <w:szCs w:val="24"/>
          <w:rtl/>
        </w:rPr>
        <w:t xml:space="preserve"> </w:t>
      </w:r>
      <w:r w:rsidRPr="00643EF4">
        <w:rPr>
          <w:rFonts w:hint="cs"/>
          <w:rtl/>
        </w:rPr>
        <w:t xml:space="preserve">בתאריך 28 בספטמבר 1995, העוסקים בנושאי מקרקעין) </w:t>
      </w:r>
      <w:r w:rsidRPr="00643EF4">
        <w:rPr>
          <w:rtl/>
        </w:rPr>
        <w:t>–</w:t>
      </w:r>
      <w:r w:rsidRPr="00643EF4">
        <w:rPr>
          <w:rFonts w:hint="cs"/>
          <w:rtl/>
        </w:rPr>
        <w:t xml:space="preserve"> ראו:</w:t>
      </w:r>
      <w:r w:rsidRPr="00643EF4">
        <w:rPr>
          <w:rFonts w:ascii="Century" w:hAnsi="Century"/>
          <w:smallCaps/>
        </w:rPr>
        <w:t>Geoffrey R. Watson, The Oslo Accords, International Law and the Israeli-Palestinian Peace Agreements 132-142 (</w:t>
      </w:r>
      <w:r w:rsidRPr="00643EF4">
        <w:rPr>
          <w:rFonts w:ascii="Century" w:hAnsi="Century"/>
        </w:rPr>
        <w:t>Oxford, 2000</w:t>
      </w:r>
      <w:r w:rsidRPr="00643EF4">
        <w:rPr>
          <w:rFonts w:ascii="Century" w:hAnsi="Century"/>
          <w:smallCaps/>
        </w:rPr>
        <w:t>)</w:t>
      </w:r>
      <w:r w:rsidRPr="00643EF4">
        <w:rPr>
          <w:rFonts w:ascii="Century" w:hAnsi="Century" w:hint="cs"/>
          <w:smallCaps/>
          <w:rtl/>
        </w:rPr>
        <w:t xml:space="preserve"> </w:t>
      </w:r>
    </w:p>
    <w:p w14:paraId="001D7127" w14:textId="77777777" w:rsidR="00333662" w:rsidRPr="00643EF4" w:rsidRDefault="00333662" w:rsidP="00333662">
      <w:pPr>
        <w:pStyle w:val="Ruller41"/>
        <w:rPr>
          <w:rFonts w:ascii="Century" w:hAnsi="Century"/>
          <w:smallCaps/>
          <w:rtl/>
        </w:rPr>
      </w:pPr>
    </w:p>
    <w:p w14:paraId="048A913B" w14:textId="3EA62C1E" w:rsidR="00333662" w:rsidRPr="00643EF4" w:rsidRDefault="00333662" w:rsidP="00493480">
      <w:pPr>
        <w:pStyle w:val="Ruller41"/>
        <w:rPr>
          <w:rtl/>
        </w:rPr>
      </w:pPr>
      <w:r w:rsidRPr="00643EF4">
        <w:rPr>
          <w:rtl/>
        </w:rPr>
        <w:tab/>
      </w:r>
      <w:r w:rsidRPr="00643EF4">
        <w:rPr>
          <w:rFonts w:hint="cs"/>
          <w:rtl/>
        </w:rPr>
        <w:t xml:space="preserve">קביעותי הנ"ל באות לידי ביטוי, בין השאר, בנוהג שנוצר בישראל ליתן תוקף </w:t>
      </w:r>
      <w:r w:rsidR="00493480" w:rsidRPr="00643EF4">
        <w:rPr>
          <w:rFonts w:hint="cs"/>
          <w:rtl/>
        </w:rPr>
        <w:t xml:space="preserve">על דרך של חקיקה </w:t>
      </w:r>
      <w:r w:rsidRPr="00643EF4">
        <w:rPr>
          <w:rFonts w:hint="cs"/>
          <w:rtl/>
        </w:rPr>
        <w:t xml:space="preserve">להתחייבויות שנכללו בהסכמים שנחתמו עם הפלסטינים (פה נעשה בפועל ההיפך) </w:t>
      </w:r>
      <w:r w:rsidRPr="00643EF4">
        <w:rPr>
          <w:rtl/>
        </w:rPr>
        <w:t>–</w:t>
      </w:r>
      <w:r w:rsidRPr="00643EF4">
        <w:rPr>
          <w:rFonts w:hint="cs"/>
          <w:rtl/>
        </w:rPr>
        <w:t xml:space="preserve"> ראו מה שגלום בחוקים הבאים: </w:t>
      </w:r>
      <w:r w:rsidRPr="00643EF4">
        <w:rPr>
          <w:rFonts w:ascii="Century" w:hAnsi="Century" w:cs="Miriam" w:hint="cs"/>
          <w:b/>
          <w:spacing w:val="0"/>
          <w:szCs w:val="24"/>
          <w:rtl/>
        </w:rPr>
        <w:t>חוק יישום ההסכם בדבר רצועת עזה ואזור יריחו (הסדרים כלכליים והוראות שונות) (תיקוני חקיקה), תשנ"ה-1994; חוק יישום ההסכם בדבר העברה מכינה של סמכויות לרשות הפלסטינית (תיקוני חקיקה והוראות שונות), תשנ"ה-1995; חוק יישום הסכם הביניים בדבר הגדה המערבית ורצועת עזה (סמכויות שיפוט והוראות אחרות) (תיקוני חקיקה), תשנ"ו-1996; חוק יישום הסכם הביניים בדבר הגדה המערבית ורצועת עזה (הגבלת פעילות), תשנ"ה-1994</w:t>
      </w:r>
      <w:r w:rsidRPr="00643EF4">
        <w:rPr>
          <w:rFonts w:hint="cs"/>
          <w:rtl/>
        </w:rPr>
        <w:t>.</w:t>
      </w:r>
    </w:p>
    <w:p w14:paraId="52F2306B" w14:textId="77777777" w:rsidR="00333662" w:rsidRPr="00643EF4" w:rsidRDefault="00333662" w:rsidP="00333662">
      <w:pPr>
        <w:pStyle w:val="Ruller41"/>
        <w:rPr>
          <w:rtl/>
        </w:rPr>
      </w:pPr>
      <w:r w:rsidRPr="00643EF4">
        <w:rPr>
          <w:rFonts w:hint="cs"/>
          <w:rtl/>
        </w:rPr>
        <w:t xml:space="preserve">עיינו לאחרונה גם: בג"ץ 358/18 </w:t>
      </w:r>
      <w:r w:rsidRPr="00643EF4">
        <w:rPr>
          <w:rFonts w:ascii="Century" w:hAnsi="Century" w:cs="Miriam" w:hint="cs"/>
          <w:b/>
          <w:spacing w:val="0"/>
          <w:szCs w:val="24"/>
          <w:rtl/>
        </w:rPr>
        <w:t>עיריית חברון נ' מדינת ישראל</w:t>
      </w:r>
      <w:r w:rsidRPr="00643EF4">
        <w:rPr>
          <w:rFonts w:hint="cs"/>
          <w:rtl/>
        </w:rPr>
        <w:t xml:space="preserve"> (30.06.2019).</w:t>
      </w:r>
    </w:p>
    <w:p w14:paraId="3038529F" w14:textId="77777777" w:rsidR="00333662" w:rsidRPr="00643EF4" w:rsidRDefault="00333662" w:rsidP="00333662">
      <w:pPr>
        <w:pStyle w:val="Ruller41"/>
        <w:rPr>
          <w:rtl/>
        </w:rPr>
      </w:pPr>
    </w:p>
    <w:p w14:paraId="7BC677F9" w14:textId="77777777" w:rsidR="00333662" w:rsidRPr="00643EF4" w:rsidRDefault="00333662" w:rsidP="00333662">
      <w:pPr>
        <w:pStyle w:val="Ruller41"/>
        <w:rPr>
          <w:rtl/>
        </w:rPr>
      </w:pPr>
      <w:r w:rsidRPr="00643EF4">
        <w:rPr>
          <w:rFonts w:hint="cs"/>
          <w:rtl/>
        </w:rPr>
        <w:t>7.</w:t>
      </w:r>
      <w:r w:rsidRPr="00643EF4">
        <w:rPr>
          <w:rFonts w:hint="cs"/>
          <w:rtl/>
        </w:rPr>
        <w:tab/>
        <w:t xml:space="preserve">מכאן (ובהנחה שהבדיקה החוקתית לא נעצרת כבר במדרגת ההלימה לערכיה של מדינת ישראל בכלל וכמדינה יהודית ודמוקרטית בפרט, כאמור בפיסקה 6 שלעיל) </w:t>
      </w:r>
      <w:r w:rsidRPr="00643EF4">
        <w:rPr>
          <w:rtl/>
        </w:rPr>
        <w:t>–</w:t>
      </w:r>
      <w:r w:rsidRPr="00643EF4">
        <w:rPr>
          <w:rFonts w:hint="cs"/>
          <w:rtl/>
        </w:rPr>
        <w:t xml:space="preserve"> אנו מגיעים לתנאי הנזכר בפיסקה 4 שלעיל, המדבר </w:t>
      </w:r>
      <w:r w:rsidRPr="00643EF4">
        <w:rPr>
          <w:rFonts w:hint="cs"/>
          <w:b/>
          <w:bCs/>
          <w:rtl/>
        </w:rPr>
        <w:t>בתכלית</w:t>
      </w:r>
      <w:r w:rsidRPr="00643EF4">
        <w:rPr>
          <w:rFonts w:ascii="Century" w:hAnsi="Century" w:cs="Miriam" w:hint="cs"/>
          <w:b/>
          <w:spacing w:val="0"/>
          <w:szCs w:val="24"/>
          <w:rtl/>
        </w:rPr>
        <w:t xml:space="preserve"> החוק</w:t>
      </w:r>
      <w:r w:rsidRPr="00643EF4">
        <w:rPr>
          <w:rFonts w:hint="cs"/>
          <w:rtl/>
        </w:rPr>
        <w:t xml:space="preserve">. בהקשר זה, הנני מוכן לקבל את עמדת חברתי, הנשיאה, ואף את התוספת שהציעו חברי: השופט </w:t>
      </w:r>
      <w:r w:rsidRPr="00643EF4">
        <w:rPr>
          <w:rFonts w:ascii="Century" w:hAnsi="Century" w:cs="Miriam" w:hint="cs"/>
          <w:b/>
          <w:spacing w:val="0"/>
          <w:szCs w:val="24"/>
          <w:rtl/>
        </w:rPr>
        <w:t>נ' הנדל</w:t>
      </w:r>
      <w:r w:rsidRPr="00643EF4">
        <w:rPr>
          <w:rFonts w:hint="cs"/>
          <w:rtl/>
        </w:rPr>
        <w:t xml:space="preserve"> והשופט </w:t>
      </w:r>
      <w:r w:rsidRPr="00643EF4">
        <w:rPr>
          <w:rFonts w:ascii="Century" w:hAnsi="Century" w:cs="Miriam" w:hint="cs"/>
          <w:b/>
          <w:spacing w:val="0"/>
          <w:szCs w:val="24"/>
          <w:rtl/>
        </w:rPr>
        <w:t>נ' סולברג</w:t>
      </w:r>
      <w:r w:rsidRPr="00643EF4">
        <w:rPr>
          <w:rFonts w:hint="cs"/>
          <w:rtl/>
        </w:rPr>
        <w:t>,</w:t>
      </w:r>
      <w:r w:rsidRPr="00643EF4">
        <w:rPr>
          <w:rFonts w:ascii="Century" w:hAnsi="Century" w:cs="Miriam" w:hint="cs"/>
          <w:b/>
          <w:spacing w:val="0"/>
          <w:szCs w:val="24"/>
          <w:rtl/>
        </w:rPr>
        <w:t xml:space="preserve"> </w:t>
      </w:r>
      <w:r w:rsidRPr="00643EF4">
        <w:rPr>
          <w:rFonts w:hint="cs"/>
          <w:rtl/>
        </w:rPr>
        <w:t>ביחס למטרות שעמדו ביסוד כוונותיהם של יוזמי ה</w:t>
      </w:r>
      <w:r w:rsidRPr="00643EF4">
        <w:rPr>
          <w:rFonts w:ascii="Century" w:hAnsi="Century" w:cs="Miriam" w:hint="cs"/>
          <w:b/>
          <w:spacing w:val="0"/>
          <w:szCs w:val="24"/>
          <w:rtl/>
        </w:rPr>
        <w:t>חוק</w:t>
      </w:r>
      <w:r w:rsidRPr="00643EF4">
        <w:rPr>
          <w:rFonts w:hint="cs"/>
          <w:rtl/>
        </w:rPr>
        <w:t xml:space="preserve">. </w:t>
      </w:r>
    </w:p>
    <w:p w14:paraId="07F57FF9" w14:textId="77777777" w:rsidR="00333662" w:rsidRPr="00643EF4" w:rsidRDefault="00333662" w:rsidP="00333662">
      <w:pPr>
        <w:pStyle w:val="Ruller41"/>
        <w:rPr>
          <w:rtl/>
        </w:rPr>
      </w:pPr>
    </w:p>
    <w:p w14:paraId="703B3850" w14:textId="77777777" w:rsidR="00333662" w:rsidRPr="00643EF4" w:rsidRDefault="00333662" w:rsidP="00333662">
      <w:pPr>
        <w:pStyle w:val="Ruller41"/>
        <w:rPr>
          <w:rtl/>
        </w:rPr>
      </w:pPr>
      <w:r w:rsidRPr="00643EF4">
        <w:rPr>
          <w:rtl/>
        </w:rPr>
        <w:tab/>
      </w:r>
      <w:r w:rsidRPr="00643EF4">
        <w:rPr>
          <w:rFonts w:hint="cs"/>
          <w:rtl/>
        </w:rPr>
        <w:t xml:space="preserve">בירור החוקיות נע איפוא לשאלת המידתיות, שעל פיה יוכרע בסופו של דבר המכלול, ואליה אתייחס מיד בסמוך. </w:t>
      </w:r>
    </w:p>
    <w:p w14:paraId="2AEC527E" w14:textId="77777777" w:rsidR="00333662" w:rsidRPr="00643EF4" w:rsidRDefault="00333662" w:rsidP="00333662">
      <w:pPr>
        <w:pStyle w:val="Ruller41"/>
        <w:rPr>
          <w:rtl/>
        </w:rPr>
      </w:pPr>
    </w:p>
    <w:p w14:paraId="4725884F" w14:textId="77777777" w:rsidR="00333662" w:rsidRPr="00643EF4" w:rsidRDefault="00333662" w:rsidP="00333662">
      <w:pPr>
        <w:pStyle w:val="Ruller41"/>
        <w:rPr>
          <w:rtl/>
        </w:rPr>
      </w:pPr>
      <w:r w:rsidRPr="00643EF4">
        <w:rPr>
          <w:rFonts w:hint="cs"/>
          <w:rtl/>
        </w:rPr>
        <w:t>8.</w:t>
      </w:r>
      <w:r w:rsidRPr="00643EF4">
        <w:rPr>
          <w:rFonts w:hint="cs"/>
          <w:rtl/>
        </w:rPr>
        <w:tab/>
      </w:r>
      <w:r w:rsidRPr="00643EF4">
        <w:rPr>
          <w:rFonts w:ascii="Century" w:hAnsi="Century" w:cs="Miriam" w:hint="cs"/>
          <w:b/>
          <w:spacing w:val="0"/>
          <w:szCs w:val="24"/>
          <w:rtl/>
        </w:rPr>
        <w:t>חוק ההסדרה</w:t>
      </w:r>
      <w:r w:rsidRPr="00643EF4">
        <w:rPr>
          <w:rFonts w:hint="cs"/>
          <w:rtl/>
        </w:rPr>
        <w:t xml:space="preserve"> איננו צולח, לשיטתי, את דרישת המידתיות (שזהו התנאי הרביעי והאחרון הרלבנטי להכשרת פגיעה חוקתית, כמובהר בפיסקה 4 שלעיל), וזאת מאחר והוא נכשל במבחנים: </w:t>
      </w:r>
      <w:r w:rsidRPr="00643EF4">
        <w:rPr>
          <w:rFonts w:hint="cs"/>
          <w:b/>
          <w:bCs/>
          <w:rtl/>
        </w:rPr>
        <w:t>השני</w:t>
      </w:r>
      <w:r w:rsidRPr="00643EF4">
        <w:rPr>
          <w:rFonts w:hint="cs"/>
          <w:rtl/>
        </w:rPr>
        <w:t xml:space="preserve"> (מבחן האמצעי שפגיעתו פחותה), ובוודאי בזה</w:t>
      </w:r>
      <w:r w:rsidRPr="00643EF4">
        <w:rPr>
          <w:rFonts w:hint="cs"/>
          <w:b/>
          <w:bCs/>
          <w:rtl/>
        </w:rPr>
        <w:t xml:space="preserve"> השלישי</w:t>
      </w:r>
      <w:r w:rsidRPr="00643EF4">
        <w:rPr>
          <w:rFonts w:hint="cs"/>
          <w:rtl/>
        </w:rPr>
        <w:t xml:space="preserve"> (מבחן "היחסיות"). בהקשר זה, אני מקבל את עמדתו של היועץ המשפטי לממשלה, </w:t>
      </w:r>
      <w:r w:rsidRPr="00643EF4">
        <w:rPr>
          <w:rFonts w:hint="cs"/>
          <w:rtl/>
        </w:rPr>
        <w:lastRenderedPageBreak/>
        <w:t>הסבור כי רוב המעוות, שהמתיישבים טוענים לו, יוכל לתקון בדרכים אחרות (ולא על דרך של חקיקה). מרביתן של אלטרנטיבות אלו אף פורטו בחוות דעתה של חברתי הנשיאה. אני סבור כי כל אימת שהמתיישבים פעלו ב</w:t>
      </w:r>
      <w:r w:rsidRPr="00643EF4">
        <w:rPr>
          <w:rFonts w:ascii="Century" w:hAnsi="Century" w:cs="Miriam" w:hint="cs"/>
          <w:b/>
          <w:spacing w:val="0"/>
          <w:szCs w:val="24"/>
          <w:rtl/>
        </w:rPr>
        <w:t>תום לב</w:t>
      </w:r>
      <w:r w:rsidRPr="00643EF4">
        <w:rPr>
          <w:rFonts w:hint="cs"/>
          <w:rtl/>
        </w:rPr>
        <w:t xml:space="preserve">, במיוחד לגבי מקרקעין לא מוסדרים (ובכלל זה אני כולל גם מקרים שרשויות המדינה טעו, או הטעו את המתיישבים) </w:t>
      </w:r>
      <w:r w:rsidRPr="00643EF4">
        <w:rPr>
          <w:rtl/>
        </w:rPr>
        <w:t>–</w:t>
      </w:r>
      <w:r w:rsidRPr="00643EF4">
        <w:rPr>
          <w:rFonts w:hint="cs"/>
          <w:rtl/>
        </w:rPr>
        <w:t xml:space="preserve"> יש בידיהם תרופות חלופיות מספקות. הדוגמה הבולטת ביותר בענין זה הם התיקונים שהוכנסו בעקבות עבודת "צוות קו כחול" (עיינו מנגד גם: בג"ץ 1953/19, </w:t>
      </w:r>
      <w:r w:rsidRPr="00643EF4">
        <w:rPr>
          <w:rFonts w:ascii="Century" w:hAnsi="Century" w:cs="Miriam" w:hint="cs"/>
          <w:b/>
          <w:spacing w:val="0"/>
          <w:szCs w:val="24"/>
          <w:rtl/>
        </w:rPr>
        <w:t>מועצת כפר קריות נ' ראש המינהל האזרחי</w:t>
      </w:r>
      <w:r w:rsidRPr="00643EF4">
        <w:rPr>
          <w:rFonts w:hint="cs"/>
          <w:rtl/>
        </w:rPr>
        <w:t xml:space="preserve"> (01.05.2019), התלוי עדיין ועומד). </w:t>
      </w:r>
    </w:p>
    <w:p w14:paraId="05EB250E" w14:textId="77777777" w:rsidR="00333662" w:rsidRPr="00643EF4" w:rsidRDefault="00333662" w:rsidP="00333662">
      <w:pPr>
        <w:pStyle w:val="Ruller41"/>
        <w:rPr>
          <w:rtl/>
        </w:rPr>
      </w:pPr>
    </w:p>
    <w:p w14:paraId="28F94235" w14:textId="77777777" w:rsidR="00333662" w:rsidRPr="00643EF4" w:rsidRDefault="00333662" w:rsidP="00333662">
      <w:pPr>
        <w:pStyle w:val="Ruller41"/>
        <w:rPr>
          <w:rtl/>
        </w:rPr>
      </w:pPr>
      <w:r w:rsidRPr="00643EF4">
        <w:rPr>
          <w:rtl/>
        </w:rPr>
        <w:tab/>
      </w:r>
      <w:r w:rsidRPr="00643EF4">
        <w:rPr>
          <w:rFonts w:hint="cs"/>
          <w:rtl/>
        </w:rPr>
        <w:t>העולה מן המורם מלמד כי ה</w:t>
      </w:r>
      <w:r w:rsidRPr="00643EF4">
        <w:rPr>
          <w:rFonts w:ascii="Century" w:hAnsi="Century" w:cs="Miriam" w:hint="cs"/>
          <w:b/>
          <w:spacing w:val="0"/>
          <w:szCs w:val="24"/>
          <w:rtl/>
        </w:rPr>
        <w:t xml:space="preserve">חוק </w:t>
      </w:r>
      <w:r w:rsidRPr="00643EF4">
        <w:rPr>
          <w:rFonts w:hint="cs"/>
          <w:rtl/>
        </w:rPr>
        <w:t xml:space="preserve">פגום איפוא במידתיות, וזאת אף בשל כך שהוא </w:t>
      </w:r>
      <w:r w:rsidRPr="00643EF4">
        <w:rPr>
          <w:rFonts w:ascii="Century" w:hAnsi="Century" w:cs="Miriam" w:hint="cs"/>
          <w:b/>
          <w:spacing w:val="0"/>
          <w:szCs w:val="24"/>
          <w:rtl/>
        </w:rPr>
        <w:t xml:space="preserve">כללי וגורף </w:t>
      </w:r>
      <w:r w:rsidRPr="00643EF4">
        <w:rPr>
          <w:rFonts w:ascii="Century" w:hAnsi="Century" w:hint="cs"/>
          <w:rtl/>
        </w:rPr>
        <w:t>מדי</w:t>
      </w:r>
      <w:r w:rsidRPr="00643EF4">
        <w:rPr>
          <w:rFonts w:hint="cs"/>
          <w:rtl/>
        </w:rPr>
        <w:t>, ונותן הכשר לא רק ל</w:t>
      </w:r>
      <w:r w:rsidRPr="00643EF4">
        <w:rPr>
          <w:rFonts w:ascii="Century" w:hAnsi="Century" w:cs="Miriam" w:hint="cs"/>
          <w:b/>
          <w:spacing w:val="0"/>
          <w:szCs w:val="24"/>
          <w:rtl/>
        </w:rPr>
        <w:t>תמי הלב</w:t>
      </w:r>
      <w:r w:rsidRPr="00643EF4">
        <w:rPr>
          <w:rFonts w:ascii="Century" w:hAnsi="Century" w:hint="cs"/>
          <w:rtl/>
        </w:rPr>
        <w:t xml:space="preserve">, שהרי </w:t>
      </w:r>
      <w:r w:rsidRPr="00643EF4">
        <w:rPr>
          <w:rFonts w:ascii="Century" w:hAnsi="Century" w:cs="Miriam" w:hint="cs"/>
          <w:b/>
          <w:spacing w:val="0"/>
          <w:szCs w:val="24"/>
          <w:rtl/>
        </w:rPr>
        <w:t>החוק</w:t>
      </w:r>
      <w:r w:rsidRPr="00643EF4">
        <w:rPr>
          <w:rFonts w:hint="cs"/>
          <w:rtl/>
        </w:rPr>
        <w:t xml:space="preserve"> כורך בצוותא חדא את תמי הלב עם אחרים, שאינם כמותם.  השוו: בג"ץ 1030/99 </w:t>
      </w:r>
      <w:r w:rsidRPr="00643EF4">
        <w:rPr>
          <w:rFonts w:ascii="Century" w:hAnsi="Century" w:cs="Miriam" w:hint="cs"/>
          <w:b/>
          <w:spacing w:val="0"/>
          <w:szCs w:val="24"/>
          <w:rtl/>
        </w:rPr>
        <w:t>חה"כ חיים אורון נ' יו"ר הכנסת</w:t>
      </w:r>
      <w:r w:rsidRPr="00643EF4">
        <w:rPr>
          <w:rFonts w:hint="cs"/>
          <w:rtl/>
        </w:rPr>
        <w:t xml:space="preserve">, פ"ד נא(3), 640 (2002). יתר על כן, בנסיבות שכאלו </w:t>
      </w:r>
      <w:r w:rsidRPr="00643EF4">
        <w:rPr>
          <w:rtl/>
        </w:rPr>
        <w:t>–</w:t>
      </w:r>
      <w:r w:rsidRPr="00643EF4">
        <w:rPr>
          <w:rFonts w:hint="cs"/>
          <w:rtl/>
        </w:rPr>
        <w:t xml:space="preserve"> ניתן לאשר את תוקפו החוקתי של חוק מעין זה </w:t>
      </w:r>
      <w:r w:rsidRPr="00643EF4">
        <w:rPr>
          <w:rFonts w:hint="cs"/>
          <w:b/>
          <w:bCs/>
          <w:rtl/>
        </w:rPr>
        <w:t>רק כאשר בדיקה פרטנית איננה אפשרית</w:t>
      </w:r>
      <w:r w:rsidRPr="00643EF4">
        <w:rPr>
          <w:rFonts w:hint="cs"/>
          <w:rtl/>
        </w:rPr>
        <w:t xml:space="preserve"> (או שעריכתה ממושכת ומסכנת בינתיים את הכלל). עיינו בחוות דעתי, במסגרת דעת הרוב, ב-בג"ץ 466/07 </w:t>
      </w:r>
      <w:r w:rsidRPr="00643EF4">
        <w:rPr>
          <w:rFonts w:ascii="Century" w:hAnsi="Century" w:cs="Miriam" w:hint="cs"/>
          <w:b/>
          <w:spacing w:val="0"/>
          <w:szCs w:val="24"/>
          <w:rtl/>
        </w:rPr>
        <w:t>ח"כ זהבה גלאון מר"צ-יחד נ' היועץ המשפטי לממשלה</w:t>
      </w:r>
      <w:r w:rsidRPr="00643EF4">
        <w:rPr>
          <w:rFonts w:hint="cs"/>
          <w:rtl/>
        </w:rPr>
        <w:t>, פ"ד סה(2)1 (2012), שם בע"מ 229).</w:t>
      </w:r>
    </w:p>
    <w:p w14:paraId="7D6DC6F6" w14:textId="77777777" w:rsidR="00333662" w:rsidRPr="00643EF4" w:rsidRDefault="00333662" w:rsidP="00333662">
      <w:pPr>
        <w:pStyle w:val="Ruller41"/>
        <w:rPr>
          <w:rtl/>
        </w:rPr>
      </w:pPr>
    </w:p>
    <w:p w14:paraId="7776D828" w14:textId="77777777" w:rsidR="00333662" w:rsidRPr="00643EF4" w:rsidRDefault="00333662" w:rsidP="00333662">
      <w:pPr>
        <w:pStyle w:val="Ruller41"/>
        <w:rPr>
          <w:rtl/>
        </w:rPr>
      </w:pPr>
      <w:r w:rsidRPr="00643EF4">
        <w:rPr>
          <w:rtl/>
        </w:rPr>
        <w:tab/>
      </w:r>
      <w:r w:rsidRPr="00643EF4">
        <w:rPr>
          <w:rFonts w:hint="cs"/>
          <w:rtl/>
        </w:rPr>
        <w:t xml:space="preserve">כאן בדיקה ספציפית </w:t>
      </w:r>
      <w:r w:rsidRPr="00643EF4">
        <w:rPr>
          <w:rFonts w:hint="cs"/>
          <w:b/>
          <w:bCs/>
          <w:rtl/>
        </w:rPr>
        <w:t>יש לה היתכנות</w:t>
      </w:r>
      <w:r w:rsidRPr="00643EF4">
        <w:rPr>
          <w:rFonts w:hint="cs"/>
          <w:rtl/>
        </w:rPr>
        <w:t xml:space="preserve">, והיא אף מתחייבת, שכן נדרש צדק אינדיבידואלי </w:t>
      </w:r>
      <w:r w:rsidRPr="00643EF4">
        <w:rPr>
          <w:rtl/>
        </w:rPr>
        <w:t>–</w:t>
      </w:r>
      <w:r w:rsidRPr="00643EF4">
        <w:rPr>
          <w:rFonts w:hint="cs"/>
          <w:rtl/>
        </w:rPr>
        <w:t xml:space="preserve"> לכל הנוגעים בדבר.</w:t>
      </w:r>
    </w:p>
    <w:p w14:paraId="254F5C10" w14:textId="77777777" w:rsidR="00333662" w:rsidRPr="00643EF4" w:rsidRDefault="00333662" w:rsidP="00333662">
      <w:pPr>
        <w:pStyle w:val="Ruller41"/>
        <w:rPr>
          <w:rtl/>
        </w:rPr>
      </w:pPr>
    </w:p>
    <w:p w14:paraId="708B8A15" w14:textId="77777777" w:rsidR="00333662" w:rsidRPr="00643EF4" w:rsidRDefault="00333662" w:rsidP="00333662">
      <w:pPr>
        <w:pStyle w:val="Ruller41"/>
        <w:rPr>
          <w:rtl/>
        </w:rPr>
      </w:pPr>
      <w:r w:rsidRPr="00643EF4">
        <w:rPr>
          <w:rFonts w:hint="cs"/>
          <w:rtl/>
        </w:rPr>
        <w:t>9.</w:t>
      </w:r>
      <w:r w:rsidRPr="00643EF4">
        <w:rPr>
          <w:rFonts w:hint="cs"/>
          <w:rtl/>
        </w:rPr>
        <w:tab/>
        <w:t xml:space="preserve">הנה כי כן </w:t>
      </w:r>
      <w:r w:rsidRPr="00643EF4">
        <w:rPr>
          <w:rtl/>
        </w:rPr>
        <w:t>–</w:t>
      </w:r>
      <w:r w:rsidRPr="00643EF4">
        <w:rPr>
          <w:rFonts w:hint="cs"/>
          <w:rtl/>
        </w:rPr>
        <w:t xml:space="preserve"> הגענו כבר כמעט לסוף הדרך, וכאן מתבקשות עוד שלוש הערות:</w:t>
      </w:r>
    </w:p>
    <w:p w14:paraId="343D3147" w14:textId="77777777" w:rsidR="00333662" w:rsidRPr="00643EF4" w:rsidRDefault="00333662" w:rsidP="00333662">
      <w:pPr>
        <w:pStyle w:val="Ruller41"/>
        <w:rPr>
          <w:rtl/>
        </w:rPr>
      </w:pPr>
    </w:p>
    <w:p w14:paraId="0268CD3B" w14:textId="77777777" w:rsidR="005410B6" w:rsidRPr="00643EF4" w:rsidRDefault="005410B6" w:rsidP="00333662">
      <w:pPr>
        <w:pStyle w:val="Ruller41"/>
        <w:rPr>
          <w:rtl/>
        </w:rPr>
      </w:pPr>
    </w:p>
    <w:p w14:paraId="3AF0054E" w14:textId="77777777" w:rsidR="005410B6" w:rsidRPr="00643EF4" w:rsidRDefault="005410B6" w:rsidP="00333662">
      <w:pPr>
        <w:pStyle w:val="Ruller41"/>
        <w:rPr>
          <w:rtl/>
        </w:rPr>
      </w:pPr>
    </w:p>
    <w:p w14:paraId="25085FF9" w14:textId="77777777" w:rsidR="005410B6" w:rsidRPr="00643EF4" w:rsidRDefault="005410B6" w:rsidP="00333662">
      <w:pPr>
        <w:pStyle w:val="Ruller41"/>
        <w:rPr>
          <w:rtl/>
        </w:rPr>
      </w:pPr>
    </w:p>
    <w:p w14:paraId="0995FCB8" w14:textId="77777777" w:rsidR="005410B6" w:rsidRPr="00643EF4" w:rsidRDefault="005410B6" w:rsidP="00333662">
      <w:pPr>
        <w:pStyle w:val="Ruller41"/>
        <w:rPr>
          <w:rtl/>
        </w:rPr>
      </w:pPr>
    </w:p>
    <w:p w14:paraId="5A0CDFBC" w14:textId="77777777" w:rsidR="005410B6" w:rsidRPr="00643EF4" w:rsidRDefault="005410B6" w:rsidP="00333662">
      <w:pPr>
        <w:pStyle w:val="Ruller41"/>
        <w:rPr>
          <w:rtl/>
        </w:rPr>
      </w:pPr>
    </w:p>
    <w:p w14:paraId="2A984F21" w14:textId="77777777" w:rsidR="00333662" w:rsidRPr="00643EF4" w:rsidRDefault="00333662" w:rsidP="00333662">
      <w:pPr>
        <w:pStyle w:val="Ruller41"/>
        <w:ind w:left="800" w:hanging="800"/>
        <w:rPr>
          <w:rFonts w:ascii="Century" w:hAnsi="Century"/>
          <w:rtl/>
        </w:rPr>
      </w:pPr>
      <w:r w:rsidRPr="00643EF4">
        <w:rPr>
          <w:rtl/>
        </w:rPr>
        <w:tab/>
      </w:r>
      <w:r w:rsidRPr="00643EF4">
        <w:rPr>
          <w:rFonts w:hint="cs"/>
          <w:rtl/>
        </w:rPr>
        <w:t>א)</w:t>
      </w:r>
      <w:r w:rsidRPr="00643EF4">
        <w:rPr>
          <w:rtl/>
        </w:rPr>
        <w:tab/>
      </w:r>
      <w:r w:rsidRPr="00643EF4">
        <w:rPr>
          <w:rFonts w:hint="cs"/>
          <w:rtl/>
        </w:rPr>
        <w:t xml:space="preserve">תובנותיו של חברי </w:t>
      </w:r>
      <w:r w:rsidRPr="00643EF4">
        <w:rPr>
          <w:rFonts w:ascii="Century" w:hAnsi="Century" w:cs="Miriam" w:hint="cs"/>
          <w:b/>
          <w:spacing w:val="0"/>
          <w:szCs w:val="24"/>
          <w:rtl/>
        </w:rPr>
        <w:t xml:space="preserve">נ' סולברג </w:t>
      </w:r>
      <w:r w:rsidRPr="00643EF4">
        <w:rPr>
          <w:rFonts w:hint="cs"/>
          <w:rtl/>
        </w:rPr>
        <w:t>לגבי העונשים הצפויים לפלסטיני, המוכר קרקע ליהודי, מקובלות עלי, ואף בכשל שוק זה יש להתחשב בעת גיבוש הפתרונות בנתיבים החלופיים</w:t>
      </w:r>
      <w:r w:rsidRPr="00643EF4">
        <w:rPr>
          <w:rFonts w:hint="cs"/>
          <w:b/>
          <w:bCs/>
          <w:rtl/>
        </w:rPr>
        <w:t xml:space="preserve"> הקיימים</w:t>
      </w:r>
      <w:r w:rsidRPr="00643EF4">
        <w:rPr>
          <w:rFonts w:hint="cs"/>
          <w:rtl/>
        </w:rPr>
        <w:t xml:space="preserve">. לפיכך תיקוני "העיפרון הכחול", אותם מציע חברי </w:t>
      </w:r>
      <w:r w:rsidRPr="00643EF4">
        <w:rPr>
          <w:rtl/>
        </w:rPr>
        <w:t>–</w:t>
      </w:r>
      <w:r w:rsidRPr="00643EF4">
        <w:rPr>
          <w:rFonts w:hint="cs"/>
          <w:rtl/>
        </w:rPr>
        <w:t xml:space="preserve"> אין בהם די, לשיטתי, כדי לתקף את </w:t>
      </w:r>
      <w:r w:rsidRPr="00643EF4">
        <w:rPr>
          <w:rFonts w:ascii="Century" w:hAnsi="Century" w:cs="Miriam" w:hint="cs"/>
          <w:b/>
          <w:spacing w:val="0"/>
          <w:szCs w:val="24"/>
          <w:rtl/>
        </w:rPr>
        <w:t>החוק</w:t>
      </w:r>
      <w:r w:rsidRPr="00643EF4">
        <w:rPr>
          <w:rFonts w:ascii="Century" w:hAnsi="Century" w:hint="cs"/>
          <w:rtl/>
        </w:rPr>
        <w:t xml:space="preserve">. </w:t>
      </w:r>
    </w:p>
    <w:p w14:paraId="302072C4" w14:textId="77777777" w:rsidR="00333662" w:rsidRPr="00643EF4" w:rsidRDefault="00333662" w:rsidP="00333662">
      <w:pPr>
        <w:pStyle w:val="Ruller41"/>
        <w:ind w:left="800" w:hanging="800"/>
        <w:rPr>
          <w:rFonts w:ascii="Century" w:hAnsi="Century"/>
          <w:rtl/>
        </w:rPr>
      </w:pPr>
    </w:p>
    <w:p w14:paraId="67DF9182" w14:textId="6CD98FA3" w:rsidR="00333662" w:rsidRPr="00643EF4" w:rsidRDefault="00333662" w:rsidP="00ED7782">
      <w:pPr>
        <w:pStyle w:val="Ruller41"/>
        <w:ind w:left="800" w:hanging="800"/>
        <w:rPr>
          <w:rtl/>
        </w:rPr>
      </w:pPr>
      <w:r w:rsidRPr="00643EF4">
        <w:rPr>
          <w:rFonts w:ascii="Century" w:hAnsi="Century"/>
          <w:rtl/>
        </w:rPr>
        <w:tab/>
      </w:r>
      <w:r w:rsidRPr="00643EF4">
        <w:rPr>
          <w:rFonts w:ascii="Century" w:hAnsi="Century"/>
          <w:rtl/>
        </w:rPr>
        <w:tab/>
      </w:r>
      <w:r w:rsidRPr="00643EF4">
        <w:rPr>
          <w:rFonts w:ascii="Century" w:hAnsi="Century" w:hint="cs"/>
          <w:rtl/>
        </w:rPr>
        <w:t xml:space="preserve">זאת ועוד </w:t>
      </w:r>
      <w:r w:rsidRPr="00643EF4">
        <w:rPr>
          <w:rFonts w:ascii="Century" w:hAnsi="Century"/>
          <w:rtl/>
        </w:rPr>
        <w:t>–</w:t>
      </w:r>
      <w:r w:rsidRPr="00643EF4">
        <w:rPr>
          <w:rFonts w:ascii="Century" w:hAnsi="Century" w:hint="cs"/>
          <w:rtl/>
        </w:rPr>
        <w:t xml:space="preserve"> אחרת. לגישתי, </w:t>
      </w:r>
      <w:r w:rsidRPr="00643EF4">
        <w:rPr>
          <w:rFonts w:hint="cs"/>
          <w:rtl/>
        </w:rPr>
        <w:t xml:space="preserve">ככל שיקבע כי ניתן להכשיר את הבנוי באחת מהדרכים החלופיות </w:t>
      </w:r>
      <w:r w:rsidRPr="00643EF4">
        <w:rPr>
          <w:rFonts w:hint="cs"/>
          <w:b/>
          <w:bCs/>
          <w:rtl/>
        </w:rPr>
        <w:t>הקיימות</w:t>
      </w:r>
      <w:r w:rsidRPr="00643EF4">
        <w:rPr>
          <w:rFonts w:hint="cs"/>
          <w:rtl/>
        </w:rPr>
        <w:t xml:space="preserve"> (אף אם </w:t>
      </w:r>
      <w:r w:rsidRPr="00643EF4">
        <w:rPr>
          <w:rFonts w:ascii="Century" w:hAnsi="Century" w:cs="Miriam" w:hint="cs"/>
          <w:b/>
          <w:spacing w:val="0"/>
          <w:szCs w:val="24"/>
          <w:rtl/>
        </w:rPr>
        <w:t>החוק</w:t>
      </w:r>
      <w:r w:rsidRPr="00643EF4">
        <w:rPr>
          <w:rFonts w:ascii="Century" w:hAnsi="Century" w:hint="cs"/>
          <w:rtl/>
        </w:rPr>
        <w:t xml:space="preserve"> יוכרז כבטל)</w:t>
      </w:r>
      <w:r w:rsidRPr="00643EF4">
        <w:rPr>
          <w:rFonts w:hint="cs"/>
          <w:rtl/>
        </w:rPr>
        <w:t xml:space="preserve"> </w:t>
      </w:r>
      <w:r w:rsidRPr="00643EF4">
        <w:rPr>
          <w:rtl/>
        </w:rPr>
        <w:t>–</w:t>
      </w:r>
      <w:r w:rsidRPr="00643EF4">
        <w:rPr>
          <w:rFonts w:hint="cs"/>
          <w:rtl/>
        </w:rPr>
        <w:t xml:space="preserve"> ראוי יהיה לנסות למצוא גם לפלסטיני הנפגע תחליף קרקעי הולם, או להעביר לו את הפיצויים המתחייבים במישרין (אם יאות לקבלם), או להפקידם בעבורו בקרן נאמנות. בכך ניתן יהיה אולי להתגבר על כשל השוק הנזכר לעיל.</w:t>
      </w:r>
    </w:p>
    <w:p w14:paraId="06DE0CEF" w14:textId="77777777" w:rsidR="00333662" w:rsidRPr="00643EF4" w:rsidRDefault="00333662" w:rsidP="00333662">
      <w:pPr>
        <w:pStyle w:val="Ruller41"/>
        <w:ind w:left="800" w:hanging="800"/>
        <w:rPr>
          <w:rtl/>
        </w:rPr>
      </w:pPr>
    </w:p>
    <w:p w14:paraId="0FA2E519" w14:textId="77777777" w:rsidR="00333662" w:rsidRPr="00643EF4" w:rsidRDefault="00333662" w:rsidP="00333662">
      <w:pPr>
        <w:pStyle w:val="Ruller41"/>
        <w:ind w:left="720" w:hanging="720"/>
        <w:rPr>
          <w:rtl/>
        </w:rPr>
      </w:pPr>
      <w:r w:rsidRPr="00643EF4">
        <w:rPr>
          <w:rtl/>
        </w:rPr>
        <w:tab/>
      </w:r>
      <w:r w:rsidRPr="00643EF4">
        <w:rPr>
          <w:rFonts w:hint="cs"/>
          <w:rtl/>
        </w:rPr>
        <w:t>ב)</w:t>
      </w:r>
      <w:r w:rsidRPr="00643EF4">
        <w:rPr>
          <w:rFonts w:hint="cs"/>
          <w:rtl/>
        </w:rPr>
        <w:tab/>
        <w:t xml:space="preserve">בדקתי את הדוגמאות שהוצגו ע"י ב"כ הממשלה ונציגי              המתיישבים מהמשפט המשווה, וכולם נראים בלתי רלבנטיים, או שאינם דומים למצב שלפנינו. לצורך זה, חלק מהאבחנות המבדילות פורטו כבר ע"י חברתי הנשיאה, ובחלקם האחר </w:t>
      </w:r>
      <w:r w:rsidRPr="00643EF4">
        <w:rPr>
          <w:rtl/>
        </w:rPr>
        <w:t>–</w:t>
      </w:r>
      <w:r w:rsidRPr="00643EF4">
        <w:rPr>
          <w:rFonts w:hint="cs"/>
          <w:rtl/>
        </w:rPr>
        <w:t xml:space="preserve"> ההסדרים שנזכרו (וכן אחרים שהונהגו בעולם) נעשו רק במסגרת הסכמים מדיניים, או בעקבותיהם.</w:t>
      </w:r>
    </w:p>
    <w:p w14:paraId="773BB35D" w14:textId="77777777" w:rsidR="00333662" w:rsidRPr="00643EF4" w:rsidRDefault="00333662" w:rsidP="00333662">
      <w:pPr>
        <w:pStyle w:val="Ruller41"/>
        <w:ind w:left="720" w:hanging="720"/>
        <w:rPr>
          <w:rtl/>
        </w:rPr>
      </w:pPr>
    </w:p>
    <w:p w14:paraId="485CFB55" w14:textId="77777777" w:rsidR="00333662" w:rsidRPr="00643EF4" w:rsidRDefault="00333662" w:rsidP="00333662">
      <w:pPr>
        <w:pStyle w:val="Ruller41"/>
        <w:ind w:left="720" w:hanging="720"/>
        <w:rPr>
          <w:rtl/>
        </w:rPr>
      </w:pPr>
      <w:r w:rsidRPr="00643EF4">
        <w:rPr>
          <w:rtl/>
        </w:rPr>
        <w:tab/>
      </w:r>
      <w:r w:rsidRPr="00643EF4">
        <w:rPr>
          <w:rFonts w:hint="cs"/>
          <w:rtl/>
        </w:rPr>
        <w:t>ג)</w:t>
      </w:r>
      <w:r w:rsidRPr="00643EF4">
        <w:rPr>
          <w:rtl/>
        </w:rPr>
        <w:tab/>
      </w:r>
      <w:r w:rsidRPr="00643EF4">
        <w:rPr>
          <w:rFonts w:hint="cs"/>
          <w:rtl/>
        </w:rPr>
        <w:t xml:space="preserve">במקרים המתאימים (כאשר לא יסתייע פתרון אפשרי למתיישבים שפעלו בתום לב) </w:t>
      </w:r>
      <w:r w:rsidRPr="00643EF4">
        <w:rPr>
          <w:rtl/>
        </w:rPr>
        <w:t>–</w:t>
      </w:r>
      <w:r w:rsidRPr="00643EF4">
        <w:rPr>
          <w:rFonts w:hint="cs"/>
          <w:rtl/>
        </w:rPr>
        <w:t xml:space="preserve"> יהיה מקום לסייע להם במציאת חלופות-מגורים הולמות,  ו/או על דרך של תשלום פיצויים, וכל זאת בשים לב למעורבותם של משיבי הממשלה והגורמים המיישבים, אשר שיכנו את המתיישבים במקומות בהם הינם מתגוררים כעת, הכל כאמור בחוות דעתי ב-בג"ץ 9949/09, הנזכרת בפיסקה 2 שלעיל.</w:t>
      </w:r>
    </w:p>
    <w:p w14:paraId="3222D228" w14:textId="77777777" w:rsidR="00333662" w:rsidRPr="00643EF4" w:rsidRDefault="00333662" w:rsidP="00333662">
      <w:pPr>
        <w:pStyle w:val="Ruller41"/>
        <w:ind w:left="720" w:hanging="720"/>
        <w:rPr>
          <w:rtl/>
        </w:rPr>
      </w:pPr>
    </w:p>
    <w:p w14:paraId="7CE5200B" w14:textId="77777777" w:rsidR="00333662" w:rsidRPr="00643EF4" w:rsidRDefault="00333662" w:rsidP="00333662">
      <w:pPr>
        <w:pStyle w:val="Ruller41"/>
        <w:ind w:left="720" w:hanging="720"/>
        <w:rPr>
          <w:rtl/>
        </w:rPr>
      </w:pPr>
      <w:r w:rsidRPr="00643EF4">
        <w:rPr>
          <w:rFonts w:hint="cs"/>
          <w:rtl/>
        </w:rPr>
        <w:t>10.</w:t>
      </w:r>
      <w:r w:rsidRPr="00643EF4">
        <w:rPr>
          <w:rtl/>
        </w:rPr>
        <w:tab/>
      </w:r>
      <w:r w:rsidRPr="00643EF4">
        <w:rPr>
          <w:rFonts w:hint="cs"/>
          <w:rtl/>
        </w:rPr>
        <w:t xml:space="preserve">מעיון במכלול החומר שלפנינו וכן במשפט המשווה </w:t>
      </w:r>
      <w:r w:rsidRPr="00643EF4">
        <w:rPr>
          <w:rtl/>
        </w:rPr>
        <w:t>–</w:t>
      </w:r>
      <w:r w:rsidRPr="00643EF4">
        <w:rPr>
          <w:rFonts w:hint="cs"/>
          <w:rtl/>
        </w:rPr>
        <w:t xml:space="preserve"> אני מסיק כי תם ולא נשלם, זאת עד שנגיע להכרעה מדינית, כפי שנזכר בסעיף 3(2)(ב)(1) ל</w:t>
      </w:r>
      <w:r w:rsidRPr="00643EF4">
        <w:rPr>
          <w:rFonts w:ascii="Century" w:hAnsi="Century" w:cs="Miriam" w:hint="cs"/>
          <w:b/>
          <w:spacing w:val="0"/>
          <w:szCs w:val="24"/>
          <w:rtl/>
        </w:rPr>
        <w:t>חוק</w:t>
      </w:r>
      <w:r w:rsidRPr="00643EF4">
        <w:rPr>
          <w:rFonts w:hint="cs"/>
          <w:rtl/>
        </w:rPr>
        <w:t>.</w:t>
      </w:r>
    </w:p>
    <w:p w14:paraId="100674D4" w14:textId="06865008" w:rsidR="00857BCA" w:rsidRPr="00643EF4" w:rsidRDefault="00857BCA" w:rsidP="00591983">
      <w:pPr>
        <w:pStyle w:val="Ruller38"/>
        <w:rPr>
          <w:rtl/>
        </w:rPr>
      </w:pPr>
    </w:p>
    <w:p w14:paraId="7FE02B8D" w14:textId="5918121D" w:rsidR="00333662" w:rsidRPr="00643EF4" w:rsidRDefault="00333662" w:rsidP="00591983">
      <w:pPr>
        <w:pStyle w:val="Ruller38"/>
        <w:rPr>
          <w:rtl/>
        </w:rPr>
      </w:pPr>
    </w:p>
    <w:p w14:paraId="7516AFF2" w14:textId="77777777" w:rsidR="005410B6" w:rsidRPr="00643EF4" w:rsidRDefault="005410B6" w:rsidP="00591983">
      <w:pPr>
        <w:pStyle w:val="Ruller38"/>
        <w:rPr>
          <w:rtl/>
        </w:rPr>
      </w:pPr>
    </w:p>
    <w:p w14:paraId="3B3F61CE" w14:textId="4411C890" w:rsidR="00333662" w:rsidRPr="00643EF4" w:rsidRDefault="00333662" w:rsidP="00591983">
      <w:pPr>
        <w:pStyle w:val="Ruller38"/>
        <w:rPr>
          <w:rtl/>
        </w:rPr>
      </w:pPr>
    </w:p>
    <w:p w14:paraId="79480D9B" w14:textId="2E9280A2" w:rsidR="00333662" w:rsidRPr="00643EF4" w:rsidRDefault="00333662" w:rsidP="00591983">
      <w:pPr>
        <w:pStyle w:val="Ruller38"/>
        <w:rPr>
          <w:rtl/>
        </w:rPr>
      </w:pPr>
    </w:p>
    <w:p w14:paraId="455D984C" w14:textId="77777777" w:rsidR="00333662" w:rsidRPr="00643EF4" w:rsidRDefault="00333662" w:rsidP="00591983">
      <w:pPr>
        <w:pStyle w:val="Ruller38"/>
        <w:rPr>
          <w:rtl/>
        </w:rPr>
      </w:pPr>
    </w:p>
    <w:tbl>
      <w:tblPr>
        <w:bidiVisual/>
        <w:tblW w:w="8363" w:type="dxa"/>
        <w:tblLook w:val="01E0" w:firstRow="1" w:lastRow="1" w:firstColumn="1" w:lastColumn="1" w:noHBand="0" w:noVBand="0"/>
      </w:tblPr>
      <w:tblGrid>
        <w:gridCol w:w="2782"/>
        <w:gridCol w:w="2782"/>
        <w:gridCol w:w="2799"/>
      </w:tblGrid>
      <w:tr w:rsidR="00857BCA" w:rsidRPr="00643EF4" w14:paraId="689C02BD" w14:textId="77777777" w:rsidTr="00EA5DF0">
        <w:tc>
          <w:tcPr>
            <w:tcW w:w="2842" w:type="dxa"/>
            <w:hideMark/>
          </w:tcPr>
          <w:p w14:paraId="3BF4BBB3" w14:textId="77777777" w:rsidR="00857BCA" w:rsidRPr="00643EF4" w:rsidRDefault="00857BCA" w:rsidP="00EA5DF0">
            <w:pPr>
              <w:pStyle w:val="Ruller41"/>
            </w:pPr>
          </w:p>
        </w:tc>
        <w:tc>
          <w:tcPr>
            <w:tcW w:w="2843" w:type="dxa"/>
            <w:hideMark/>
          </w:tcPr>
          <w:p w14:paraId="36D1975F" w14:textId="77777777" w:rsidR="00857BCA" w:rsidRPr="00643EF4" w:rsidRDefault="00857BCA" w:rsidP="00EA5DF0">
            <w:pPr>
              <w:pStyle w:val="Ruller41"/>
              <w:jc w:val="center"/>
              <w:rPr>
                <w:rtl/>
              </w:rPr>
            </w:pPr>
          </w:p>
        </w:tc>
        <w:tc>
          <w:tcPr>
            <w:tcW w:w="2843" w:type="dxa"/>
            <w:hideMark/>
          </w:tcPr>
          <w:p w14:paraId="21A8ED15" w14:textId="77777777" w:rsidR="00857BCA" w:rsidRPr="00643EF4" w:rsidRDefault="00857BCA" w:rsidP="00EA5DF0">
            <w:pPr>
              <w:pStyle w:val="Ruller41"/>
              <w:jc w:val="center"/>
              <w:rPr>
                <w:rtl/>
              </w:rPr>
            </w:pPr>
            <w:r w:rsidRPr="00643EF4">
              <w:rPr>
                <w:rFonts w:hint="cs"/>
                <w:rtl/>
              </w:rPr>
              <w:t xml:space="preserve">המשנה לנשיאה </w:t>
            </w:r>
            <w:r w:rsidRPr="00643EF4">
              <w:rPr>
                <w:rtl/>
              </w:rPr>
              <w:t xml:space="preserve"> </w:t>
            </w:r>
          </w:p>
        </w:tc>
      </w:tr>
    </w:tbl>
    <w:p w14:paraId="016026D6" w14:textId="1AFB378A" w:rsidR="00857BCA" w:rsidRPr="00643EF4" w:rsidRDefault="00857BCA" w:rsidP="00591983">
      <w:pPr>
        <w:pStyle w:val="Ruller38"/>
        <w:rPr>
          <w:rtl/>
        </w:rPr>
      </w:pPr>
    </w:p>
    <w:p w14:paraId="1FE60C43" w14:textId="0E479A35" w:rsidR="00857BCA" w:rsidRPr="00643EF4" w:rsidRDefault="00857BCA" w:rsidP="00591983">
      <w:pPr>
        <w:pStyle w:val="Ruller38"/>
        <w:rPr>
          <w:rtl/>
        </w:rPr>
      </w:pPr>
    </w:p>
    <w:p w14:paraId="2F34D96C" w14:textId="6DCB57ED" w:rsidR="009B62A2" w:rsidRPr="00643EF4" w:rsidRDefault="009B62A2" w:rsidP="00DE7E24">
      <w:pPr>
        <w:pStyle w:val="Ruller38"/>
        <w:spacing w:line="360" w:lineRule="auto"/>
        <w:rPr>
          <w:rFonts w:ascii="Century" w:hAnsi="Century" w:cs="FrankRuehl"/>
          <w:spacing w:val="10"/>
          <w:szCs w:val="28"/>
          <w:rtl/>
        </w:rPr>
      </w:pPr>
    </w:p>
    <w:p w14:paraId="4F8D1AA1" w14:textId="77777777" w:rsidR="009B62A2" w:rsidRPr="00643EF4" w:rsidRDefault="009B62A2" w:rsidP="00857BCA">
      <w:pPr>
        <w:pStyle w:val="Ruller38"/>
        <w:spacing w:line="360" w:lineRule="auto"/>
        <w:rPr>
          <w:rFonts w:ascii="Century" w:hAnsi="Century" w:cs="FrankRuehl"/>
          <w:spacing w:val="10"/>
          <w:szCs w:val="28"/>
          <w:rtl/>
        </w:rPr>
      </w:pPr>
    </w:p>
    <w:p w14:paraId="087AA450" w14:textId="77C1ACB3" w:rsidR="009B62A2" w:rsidRPr="00643EF4" w:rsidRDefault="009B62A2" w:rsidP="00857BCA">
      <w:pPr>
        <w:pStyle w:val="Ruller38"/>
        <w:spacing w:line="360" w:lineRule="auto"/>
        <w:rPr>
          <w:rFonts w:ascii="Century" w:hAnsi="Century" w:cs="FrankRuehl"/>
          <w:spacing w:val="10"/>
          <w:szCs w:val="28"/>
          <w:rtl/>
        </w:rPr>
      </w:pPr>
    </w:p>
    <w:p w14:paraId="2BBD3875" w14:textId="5FD7FC84" w:rsidR="005410B6" w:rsidRPr="00643EF4" w:rsidRDefault="005410B6" w:rsidP="00857BCA">
      <w:pPr>
        <w:pStyle w:val="Ruller38"/>
        <w:spacing w:line="360" w:lineRule="auto"/>
        <w:rPr>
          <w:rFonts w:ascii="Century" w:hAnsi="Century" w:cs="FrankRuehl"/>
          <w:spacing w:val="10"/>
          <w:szCs w:val="28"/>
          <w:rtl/>
        </w:rPr>
      </w:pPr>
    </w:p>
    <w:p w14:paraId="7BFF494A" w14:textId="77777777" w:rsidR="00EA089C" w:rsidRPr="00643EF4" w:rsidRDefault="00EA089C" w:rsidP="00857BCA">
      <w:pPr>
        <w:pStyle w:val="Ruller38"/>
        <w:spacing w:line="360" w:lineRule="auto"/>
        <w:rPr>
          <w:rFonts w:ascii="Century" w:hAnsi="Century" w:cs="FrankRuehl"/>
          <w:spacing w:val="10"/>
          <w:szCs w:val="28"/>
          <w:rtl/>
        </w:rPr>
      </w:pPr>
    </w:p>
    <w:p w14:paraId="62538B61" w14:textId="556B3F24" w:rsidR="009B62A2" w:rsidRPr="00643EF4" w:rsidRDefault="009B62A2" w:rsidP="006B6803">
      <w:pPr>
        <w:pStyle w:val="Ruller38"/>
        <w:spacing w:line="360" w:lineRule="auto"/>
        <w:rPr>
          <w:rFonts w:ascii="Century" w:hAnsi="Century" w:cs="Miriam"/>
          <w:b/>
          <w:szCs w:val="24"/>
          <w:rtl/>
        </w:rPr>
      </w:pPr>
      <w:r w:rsidRPr="00643EF4">
        <w:rPr>
          <w:rFonts w:ascii="Century" w:hAnsi="Century" w:cs="FrankRuehl"/>
          <w:spacing w:val="10"/>
          <w:szCs w:val="28"/>
          <w:rtl/>
        </w:rPr>
        <w:tab/>
      </w:r>
      <w:r w:rsidR="006B6803" w:rsidRPr="00643EF4">
        <w:rPr>
          <w:rFonts w:ascii="FrankRuehl" w:hAnsi="FrankRuehl" w:cs="FrankRuehl"/>
          <w:spacing w:val="10"/>
          <w:sz w:val="28"/>
          <w:szCs w:val="28"/>
          <w:rtl/>
        </w:rPr>
        <w:t xml:space="preserve">הוחלט כאמור בפסק דינה של הנשיאה </w:t>
      </w:r>
      <w:r w:rsidR="006B6803" w:rsidRPr="00643EF4">
        <w:rPr>
          <w:rFonts w:ascii="Century" w:hAnsi="Century" w:cs="Miriam"/>
          <w:b/>
          <w:szCs w:val="24"/>
          <w:rtl/>
        </w:rPr>
        <w:t>א' חיות</w:t>
      </w:r>
      <w:r w:rsidR="006B6803" w:rsidRPr="00643EF4">
        <w:rPr>
          <w:rFonts w:ascii="FrankRuehl" w:hAnsi="FrankRuehl" w:cs="FrankRuehl" w:hint="cs"/>
          <w:spacing w:val="10"/>
          <w:sz w:val="28"/>
          <w:szCs w:val="28"/>
          <w:rtl/>
        </w:rPr>
        <w:t xml:space="preserve">, כנגד דעתו החולקת של השופט </w:t>
      </w:r>
      <w:r w:rsidR="006B6803" w:rsidRPr="00643EF4">
        <w:rPr>
          <w:rFonts w:ascii="Century" w:hAnsi="Century" w:cs="Miriam" w:hint="cs"/>
          <w:b/>
          <w:szCs w:val="24"/>
          <w:rtl/>
        </w:rPr>
        <w:t>נ' סולברג</w:t>
      </w:r>
      <w:r w:rsidR="006B6803" w:rsidRPr="00643EF4">
        <w:rPr>
          <w:rFonts w:ascii="Century" w:hAnsi="Century" w:cs="FrankRuehl" w:hint="cs"/>
          <w:spacing w:val="10"/>
          <w:szCs w:val="28"/>
          <w:rtl/>
        </w:rPr>
        <w:t>.</w:t>
      </w:r>
    </w:p>
    <w:p w14:paraId="3385EB5B" w14:textId="77777777" w:rsidR="009B62A2" w:rsidRPr="00643EF4" w:rsidRDefault="009B62A2" w:rsidP="00857BCA">
      <w:pPr>
        <w:pStyle w:val="Ruller38"/>
        <w:spacing w:line="360" w:lineRule="auto"/>
        <w:rPr>
          <w:rFonts w:ascii="Century" w:hAnsi="Century" w:cs="FrankRuehl"/>
          <w:spacing w:val="10"/>
          <w:szCs w:val="28"/>
          <w:rtl/>
        </w:rPr>
      </w:pPr>
    </w:p>
    <w:p w14:paraId="7547A23B" w14:textId="18F04F5C" w:rsidR="00857BCA" w:rsidRPr="00643EF4" w:rsidRDefault="00857BCA" w:rsidP="00CF2FF9">
      <w:pPr>
        <w:pStyle w:val="Ruller38"/>
        <w:spacing w:line="360" w:lineRule="auto"/>
        <w:ind w:firstLine="720"/>
        <w:rPr>
          <w:rFonts w:ascii="Century" w:hAnsi="Century" w:cs="FrankRuehl"/>
          <w:spacing w:val="10"/>
          <w:szCs w:val="28"/>
          <w:rtl/>
        </w:rPr>
      </w:pPr>
      <w:r w:rsidRPr="00643EF4">
        <w:rPr>
          <w:rFonts w:ascii="Century" w:hAnsi="Century" w:cs="FrankRuehl"/>
          <w:spacing w:val="10"/>
          <w:szCs w:val="28"/>
          <w:rtl/>
        </w:rPr>
        <w:t xml:space="preserve">ניתן היום, </w:t>
      </w:r>
      <w:r w:rsidR="00CF2FF9" w:rsidRPr="00643EF4">
        <w:rPr>
          <w:rFonts w:ascii="Century" w:hAnsi="Century" w:cs="FrankRuehl" w:hint="cs"/>
          <w:spacing w:val="10"/>
          <w:szCs w:val="28"/>
          <w:rtl/>
        </w:rPr>
        <w:t xml:space="preserve">י"ז בסיוון התש"ף (9.6.2020). </w:t>
      </w:r>
    </w:p>
    <w:p w14:paraId="7EC6659D" w14:textId="77777777" w:rsidR="00592E0A" w:rsidRPr="00643EF4" w:rsidRDefault="00592E0A" w:rsidP="009B62A2">
      <w:pPr>
        <w:pStyle w:val="Ruller38"/>
        <w:spacing w:line="360" w:lineRule="auto"/>
        <w:ind w:firstLine="720"/>
        <w:rPr>
          <w:rFonts w:ascii="Century" w:hAnsi="Century" w:cs="FrankRuehl"/>
          <w:spacing w:val="10"/>
          <w:szCs w:val="28"/>
          <w:rtl/>
        </w:rPr>
      </w:pPr>
    </w:p>
    <w:p w14:paraId="4877C487" w14:textId="43311FB4" w:rsidR="00857BCA" w:rsidRPr="00643EF4" w:rsidRDefault="00857BCA" w:rsidP="00591983">
      <w:pPr>
        <w:pStyle w:val="Ruller38"/>
        <w:rPr>
          <w:rtl/>
        </w:rPr>
      </w:pPr>
    </w:p>
    <w:p w14:paraId="043B3AB2" w14:textId="6FEA7F5D" w:rsidR="00857BCA" w:rsidRPr="00643EF4" w:rsidRDefault="00857BCA" w:rsidP="00591983">
      <w:pPr>
        <w:pStyle w:val="Ruller38"/>
        <w:rPr>
          <w:rtl/>
        </w:rPr>
      </w:pPr>
    </w:p>
    <w:p w14:paraId="122517F0" w14:textId="77777777" w:rsidR="00745D86" w:rsidRPr="00643EF4" w:rsidRDefault="00745D86" w:rsidP="00591983">
      <w:pPr>
        <w:pStyle w:val="Ruller38"/>
        <w:rPr>
          <w:rtl/>
        </w:rPr>
      </w:pPr>
    </w:p>
    <w:p w14:paraId="61C3FF42" w14:textId="37F211B6" w:rsidR="00857BCA" w:rsidRPr="00643EF4" w:rsidRDefault="00857BCA" w:rsidP="00DF76CE">
      <w:pPr>
        <w:pStyle w:val="Ruller38"/>
        <w:spacing w:line="360" w:lineRule="auto"/>
        <w:rPr>
          <w:rtl/>
        </w:rPr>
      </w:pPr>
    </w:p>
    <w:tbl>
      <w:tblPr>
        <w:bidiVisual/>
        <w:tblW w:w="8363" w:type="dxa"/>
        <w:tblLook w:val="01E0" w:firstRow="1" w:lastRow="1" w:firstColumn="1" w:lastColumn="1" w:noHBand="0" w:noVBand="0"/>
      </w:tblPr>
      <w:tblGrid>
        <w:gridCol w:w="2783"/>
        <w:gridCol w:w="2797"/>
        <w:gridCol w:w="2783"/>
      </w:tblGrid>
      <w:tr w:rsidR="00857BCA" w:rsidRPr="00643EF4" w14:paraId="6810F2CC" w14:textId="77777777" w:rsidTr="00EA5DF0">
        <w:tc>
          <w:tcPr>
            <w:tcW w:w="2842" w:type="dxa"/>
            <w:hideMark/>
          </w:tcPr>
          <w:p w14:paraId="5F63D35E" w14:textId="77777777" w:rsidR="00857BCA" w:rsidRPr="00643EF4" w:rsidRDefault="00857BCA" w:rsidP="00DF76CE">
            <w:pPr>
              <w:pStyle w:val="Ruller41"/>
            </w:pPr>
            <w:r w:rsidRPr="00643EF4">
              <w:rPr>
                <w:rtl/>
              </w:rPr>
              <w:t>ה נ ש י א ה</w:t>
            </w:r>
          </w:p>
        </w:tc>
        <w:tc>
          <w:tcPr>
            <w:tcW w:w="2843" w:type="dxa"/>
            <w:hideMark/>
          </w:tcPr>
          <w:p w14:paraId="13B0998A" w14:textId="77777777" w:rsidR="00857BCA" w:rsidRPr="00643EF4" w:rsidRDefault="00857BCA" w:rsidP="00DF76CE">
            <w:pPr>
              <w:pStyle w:val="Ruller41"/>
              <w:jc w:val="center"/>
              <w:rPr>
                <w:rtl/>
              </w:rPr>
            </w:pPr>
            <w:r w:rsidRPr="00643EF4">
              <w:rPr>
                <w:rtl/>
              </w:rPr>
              <w:t>המשנה לנשיאה</w:t>
            </w:r>
          </w:p>
        </w:tc>
        <w:tc>
          <w:tcPr>
            <w:tcW w:w="2843" w:type="dxa"/>
            <w:hideMark/>
          </w:tcPr>
          <w:p w14:paraId="78FEF52F" w14:textId="77777777" w:rsidR="00857BCA" w:rsidRPr="00643EF4" w:rsidRDefault="00857BCA" w:rsidP="00DF76CE">
            <w:pPr>
              <w:pStyle w:val="Ruller41"/>
              <w:jc w:val="center"/>
              <w:rPr>
                <w:rtl/>
              </w:rPr>
            </w:pPr>
            <w:r w:rsidRPr="00643EF4">
              <w:rPr>
                <w:rtl/>
              </w:rPr>
              <w:t xml:space="preserve">ש ו פ ט </w:t>
            </w:r>
          </w:p>
        </w:tc>
      </w:tr>
    </w:tbl>
    <w:p w14:paraId="6D3F7D82" w14:textId="77777777" w:rsidR="00857BCA" w:rsidRPr="00643EF4" w:rsidRDefault="00857BCA" w:rsidP="00DF76CE">
      <w:pPr>
        <w:pStyle w:val="Ruller41"/>
        <w:rPr>
          <w:rtl/>
        </w:rPr>
      </w:pPr>
    </w:p>
    <w:p w14:paraId="13498987" w14:textId="77777777" w:rsidR="005410B6" w:rsidRPr="00643EF4" w:rsidRDefault="005410B6" w:rsidP="00DF76CE">
      <w:pPr>
        <w:pStyle w:val="Ruller41"/>
        <w:rPr>
          <w:rtl/>
        </w:rPr>
      </w:pPr>
    </w:p>
    <w:p w14:paraId="56214746" w14:textId="77777777" w:rsidR="00CF2FF9" w:rsidRPr="00643EF4" w:rsidRDefault="00CF2FF9" w:rsidP="00DF76CE">
      <w:pPr>
        <w:pStyle w:val="Ruller41"/>
        <w:rPr>
          <w:rtl/>
        </w:rPr>
      </w:pPr>
    </w:p>
    <w:tbl>
      <w:tblPr>
        <w:bidiVisual/>
        <w:tblW w:w="8363" w:type="dxa"/>
        <w:tblLook w:val="01E0" w:firstRow="1" w:lastRow="1" w:firstColumn="1" w:lastColumn="1" w:noHBand="0" w:noVBand="0"/>
      </w:tblPr>
      <w:tblGrid>
        <w:gridCol w:w="2787"/>
        <w:gridCol w:w="2788"/>
        <w:gridCol w:w="2788"/>
      </w:tblGrid>
      <w:tr w:rsidR="00857BCA" w:rsidRPr="00643EF4" w14:paraId="54C745B2" w14:textId="77777777" w:rsidTr="00EA5DF0">
        <w:tc>
          <w:tcPr>
            <w:tcW w:w="2787" w:type="dxa"/>
            <w:hideMark/>
          </w:tcPr>
          <w:p w14:paraId="37BED8AA" w14:textId="77777777" w:rsidR="00857BCA" w:rsidRPr="00643EF4" w:rsidRDefault="00857BCA" w:rsidP="00DF76CE">
            <w:pPr>
              <w:pStyle w:val="Ruller41"/>
              <w:rPr>
                <w:rtl/>
              </w:rPr>
            </w:pPr>
            <w:r w:rsidRPr="00643EF4">
              <w:rPr>
                <w:rtl/>
              </w:rPr>
              <w:t>ש ו פ ט</w:t>
            </w:r>
          </w:p>
        </w:tc>
        <w:tc>
          <w:tcPr>
            <w:tcW w:w="2788" w:type="dxa"/>
            <w:hideMark/>
          </w:tcPr>
          <w:p w14:paraId="2F8AD617" w14:textId="77777777" w:rsidR="00857BCA" w:rsidRPr="00643EF4" w:rsidRDefault="00857BCA" w:rsidP="00DF76CE">
            <w:pPr>
              <w:pStyle w:val="Ruller41"/>
              <w:jc w:val="center"/>
              <w:rPr>
                <w:rtl/>
              </w:rPr>
            </w:pPr>
            <w:r w:rsidRPr="00643EF4">
              <w:rPr>
                <w:rtl/>
              </w:rPr>
              <w:t>ש ו פ ט</w:t>
            </w:r>
          </w:p>
        </w:tc>
        <w:tc>
          <w:tcPr>
            <w:tcW w:w="2788" w:type="dxa"/>
            <w:hideMark/>
          </w:tcPr>
          <w:p w14:paraId="7C43EC25" w14:textId="77777777" w:rsidR="00857BCA" w:rsidRPr="00643EF4" w:rsidRDefault="00857BCA" w:rsidP="00DF76CE">
            <w:pPr>
              <w:pStyle w:val="Ruller41"/>
              <w:jc w:val="center"/>
              <w:rPr>
                <w:rtl/>
              </w:rPr>
            </w:pPr>
            <w:r w:rsidRPr="00643EF4">
              <w:rPr>
                <w:rtl/>
              </w:rPr>
              <w:t>ש ו פ ט</w:t>
            </w:r>
          </w:p>
        </w:tc>
      </w:tr>
    </w:tbl>
    <w:p w14:paraId="7BC99A0C" w14:textId="77777777" w:rsidR="00857BCA" w:rsidRPr="00643EF4" w:rsidRDefault="00857BCA" w:rsidP="00DF76CE">
      <w:pPr>
        <w:pStyle w:val="Ruller41"/>
        <w:rPr>
          <w:rtl/>
        </w:rPr>
      </w:pPr>
    </w:p>
    <w:p w14:paraId="072DC62E" w14:textId="77777777" w:rsidR="005410B6" w:rsidRPr="00643EF4" w:rsidRDefault="005410B6" w:rsidP="00DF76CE">
      <w:pPr>
        <w:pStyle w:val="Ruller41"/>
        <w:rPr>
          <w:rtl/>
        </w:rPr>
      </w:pPr>
    </w:p>
    <w:p w14:paraId="55B833E0" w14:textId="77777777" w:rsidR="00CF2FF9" w:rsidRPr="00643EF4" w:rsidRDefault="00CF2FF9" w:rsidP="00DF76CE">
      <w:pPr>
        <w:pStyle w:val="Ruller41"/>
        <w:rPr>
          <w:rtl/>
        </w:rPr>
      </w:pPr>
    </w:p>
    <w:tbl>
      <w:tblPr>
        <w:bidiVisual/>
        <w:tblW w:w="8363" w:type="dxa"/>
        <w:tblLook w:val="01E0" w:firstRow="1" w:lastRow="1" w:firstColumn="1" w:lastColumn="1" w:noHBand="0" w:noVBand="0"/>
      </w:tblPr>
      <w:tblGrid>
        <w:gridCol w:w="2787"/>
        <w:gridCol w:w="2788"/>
        <w:gridCol w:w="2788"/>
      </w:tblGrid>
      <w:tr w:rsidR="00857BCA" w:rsidRPr="00643EF4" w14:paraId="75DA8EED" w14:textId="77777777" w:rsidTr="00EA5DF0">
        <w:tc>
          <w:tcPr>
            <w:tcW w:w="2842" w:type="dxa"/>
            <w:hideMark/>
          </w:tcPr>
          <w:p w14:paraId="0027BD24" w14:textId="77777777" w:rsidR="00857BCA" w:rsidRPr="00643EF4" w:rsidRDefault="00857BCA" w:rsidP="00DF76CE">
            <w:pPr>
              <w:pStyle w:val="Ruller41"/>
              <w:rPr>
                <w:rtl/>
              </w:rPr>
            </w:pPr>
            <w:r w:rsidRPr="00643EF4">
              <w:rPr>
                <w:rtl/>
              </w:rPr>
              <w:t>ש ו פ ט ת</w:t>
            </w:r>
          </w:p>
        </w:tc>
        <w:tc>
          <w:tcPr>
            <w:tcW w:w="2843" w:type="dxa"/>
            <w:hideMark/>
          </w:tcPr>
          <w:p w14:paraId="0F8FCE72" w14:textId="77777777" w:rsidR="00857BCA" w:rsidRPr="00643EF4" w:rsidRDefault="00857BCA" w:rsidP="00DF76CE">
            <w:pPr>
              <w:pStyle w:val="Ruller41"/>
              <w:jc w:val="center"/>
              <w:rPr>
                <w:rtl/>
              </w:rPr>
            </w:pPr>
            <w:r w:rsidRPr="00643EF4">
              <w:rPr>
                <w:rtl/>
              </w:rPr>
              <w:t xml:space="preserve">ש ו פ ט </w:t>
            </w:r>
          </w:p>
        </w:tc>
        <w:tc>
          <w:tcPr>
            <w:tcW w:w="2843" w:type="dxa"/>
            <w:hideMark/>
          </w:tcPr>
          <w:p w14:paraId="1AEFA005" w14:textId="77777777" w:rsidR="00857BCA" w:rsidRPr="00643EF4" w:rsidRDefault="00857BCA" w:rsidP="00DF76CE">
            <w:pPr>
              <w:pStyle w:val="Ruller41"/>
              <w:jc w:val="center"/>
              <w:rPr>
                <w:rtl/>
              </w:rPr>
            </w:pPr>
            <w:r w:rsidRPr="00643EF4">
              <w:rPr>
                <w:rtl/>
              </w:rPr>
              <w:t>ש ו פ ט ת</w:t>
            </w:r>
          </w:p>
        </w:tc>
      </w:tr>
    </w:tbl>
    <w:p w14:paraId="5C9E3906" w14:textId="08340D3E" w:rsidR="00857BCA" w:rsidRPr="00643EF4" w:rsidRDefault="00857BCA" w:rsidP="00591983">
      <w:pPr>
        <w:pStyle w:val="Ruller38"/>
        <w:rPr>
          <w:rtl/>
        </w:rPr>
      </w:pPr>
    </w:p>
    <w:p w14:paraId="4FECC4EF" w14:textId="106C74D4" w:rsidR="00857BCA" w:rsidRPr="00643EF4" w:rsidRDefault="00857BCA" w:rsidP="00591983">
      <w:pPr>
        <w:pStyle w:val="Ruller38"/>
        <w:rPr>
          <w:rtl/>
        </w:rPr>
      </w:pPr>
    </w:p>
    <w:p w14:paraId="021886CA" w14:textId="77777777" w:rsidR="005410B6" w:rsidRPr="00643EF4" w:rsidRDefault="005410B6" w:rsidP="00591983">
      <w:pPr>
        <w:pStyle w:val="Ruller38"/>
        <w:rPr>
          <w:rtl/>
        </w:rPr>
      </w:pPr>
    </w:p>
    <w:p w14:paraId="01F7B014" w14:textId="77777777" w:rsidR="005410B6" w:rsidRPr="00643EF4" w:rsidRDefault="005410B6" w:rsidP="00591983">
      <w:pPr>
        <w:pStyle w:val="Ruller38"/>
        <w:rPr>
          <w:rtl/>
        </w:rPr>
      </w:pPr>
    </w:p>
    <w:p w14:paraId="528A4FAC" w14:textId="77777777" w:rsidR="00857BCA" w:rsidRPr="00643EF4" w:rsidRDefault="00857BCA" w:rsidP="00857BCA">
      <w:pPr>
        <w:rPr>
          <w:szCs w:val="16"/>
          <w:rtl/>
        </w:rPr>
      </w:pPr>
      <w:r w:rsidRPr="00643EF4">
        <w:rPr>
          <w:szCs w:val="16"/>
          <w:rtl/>
        </w:rPr>
        <w:t>_________________</w:t>
      </w:r>
      <w:r w:rsidRPr="00643EF4">
        <w:rPr>
          <w:rFonts w:hint="cs"/>
          <w:szCs w:val="16"/>
          <w:rtl/>
        </w:rPr>
        <w:t>________</w:t>
      </w:r>
    </w:p>
    <w:p w14:paraId="1F1F4C48" w14:textId="39B7D01C" w:rsidR="00857BCA" w:rsidRPr="00643EF4" w:rsidRDefault="00857BCA" w:rsidP="00857BCA">
      <w:pPr>
        <w:pStyle w:val="Ruller38"/>
        <w:rPr>
          <w:rtl/>
        </w:rPr>
      </w:pPr>
      <w:r w:rsidRPr="00643EF4">
        <w:rPr>
          <w:sz w:val="16"/>
        </w:rPr>
        <w:t xml:space="preserve">   17013080_V48.docx   </w:t>
      </w:r>
      <w:r w:rsidRPr="00643EF4">
        <w:rPr>
          <w:rFonts w:hint="cs"/>
          <w:sz w:val="16"/>
          <w:rtl/>
        </w:rPr>
        <w:t>אש</w:t>
      </w:r>
    </w:p>
    <w:p w14:paraId="2BCA90F4" w14:textId="585ED170" w:rsidR="00857BCA" w:rsidRPr="00B21A9E" w:rsidRDefault="00857BCA" w:rsidP="00745D86">
      <w:pPr>
        <w:pStyle w:val="Ruller38"/>
        <w:rPr>
          <w:rtl/>
        </w:rPr>
      </w:pPr>
      <w:r w:rsidRPr="00643EF4">
        <w:rPr>
          <w:rtl/>
        </w:rPr>
        <w:t>מרכז מידע, טל'</w:t>
      </w:r>
      <w:r w:rsidRPr="00643EF4">
        <w:rPr>
          <w:rFonts w:hint="cs"/>
          <w:rtl/>
        </w:rPr>
        <w:t xml:space="preserve"> 077-2703333 ; אתר אינטרנט,  </w:t>
      </w:r>
      <w:hyperlink r:id="rId9" w:history="1">
        <w:r w:rsidRPr="00643EF4">
          <w:rPr>
            <w:rStyle w:val="Hyperlink"/>
            <w:sz w:val="16"/>
          </w:rPr>
          <w:t>http://supreme.court.gov.i</w:t>
        </w:r>
      </w:hyperlink>
      <w:r w:rsidRPr="00643EF4">
        <w:rPr>
          <w:sz w:val="16"/>
        </w:rPr>
        <w:t>l</w:t>
      </w:r>
    </w:p>
    <w:sectPr w:rsidR="00857BCA" w:rsidRPr="00B21A9E" w:rsidSect="00591983">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CE0E" w14:textId="77777777" w:rsidR="001E14C1" w:rsidRDefault="001E14C1">
      <w:r>
        <w:separator/>
      </w:r>
    </w:p>
  </w:endnote>
  <w:endnote w:type="continuationSeparator" w:id="0">
    <w:p w14:paraId="547F76E0" w14:textId="77777777" w:rsidR="001E14C1" w:rsidRDefault="001E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TUR">
    <w:altName w:val="Arial"/>
    <w:panose1 w:val="020B0604020202020204"/>
    <w:charset w:val="00"/>
    <w:family w:val="swiss"/>
    <w:pitch w:val="variable"/>
    <w:sig w:usb0="E0002EFF" w:usb1="C0007843" w:usb2="00000009" w:usb3="00000000" w:csb0="000001FF" w:csb1="00000000"/>
  </w:font>
  <w:font w:name="Miriam">
    <w:panose1 w:val="020B0604020202020204"/>
    <w:charset w:val="00"/>
    <w:family w:val="swiss"/>
    <w:pitch w:val="variable"/>
    <w:sig w:usb0="00000803" w:usb1="00000000" w:usb2="00000000" w:usb3="00000000" w:csb0="00000021" w:csb1="00000000"/>
  </w:font>
  <w:font w:name="David">
    <w:panose1 w:val="020B0604020202020204"/>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Fix">
    <w:panose1 w:val="020B0604020202020204"/>
    <w:charset w:val="B1"/>
    <w:family w:val="auto"/>
    <w:pitch w:val="variable"/>
    <w:sig w:usb0="00001801" w:usb1="00000000" w:usb2="00000000" w:usb3="00000000" w:csb0="00000020" w:csb1="00000000"/>
  </w:font>
  <w:font w:name="Guttman Yad">
    <w:panose1 w:val="020B0604020202020204"/>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5ABE" w14:textId="77777777" w:rsidR="00EA5DF0" w:rsidRDefault="00EA5DF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09AE01F2" w14:textId="77777777" w:rsidR="00EA5DF0" w:rsidRDefault="00EA5DF0">
    <w:pPr>
      <w:pStyle w:val="Footer"/>
      <w:rPr>
        <w:rtl/>
      </w:rPr>
    </w:pPr>
  </w:p>
  <w:p w14:paraId="738D48FF" w14:textId="77777777" w:rsidR="00EA5DF0" w:rsidRDefault="00EA5D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C428" w14:textId="77777777" w:rsidR="00EA5DF0" w:rsidRDefault="00EA5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2639" w14:textId="77777777" w:rsidR="00EA5DF0" w:rsidRPr="00F959DB" w:rsidRDefault="00EA5DF0" w:rsidP="00914156">
    <w:pPr>
      <w:pStyle w:val="Footer"/>
      <w:bidi w:val="0"/>
      <w:jc w:val="right"/>
      <w:rPr>
        <w:sz w:val="16"/>
        <w:szCs w:val="16"/>
      </w:rPr>
    </w:pPr>
    <w:bookmarkStart w:id="17" w:name="footer_line"/>
    <w:bookmarkEnd w:id="17"/>
  </w:p>
  <w:p w14:paraId="6D6C44FA" w14:textId="77777777" w:rsidR="00EA5DF0" w:rsidRDefault="00EA5DF0">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BE77E" w14:textId="77777777" w:rsidR="001E14C1" w:rsidRDefault="001E14C1">
      <w:r>
        <w:separator/>
      </w:r>
    </w:p>
  </w:footnote>
  <w:footnote w:type="continuationSeparator" w:id="0">
    <w:p w14:paraId="1EDE221C" w14:textId="77777777" w:rsidR="001E14C1" w:rsidRDefault="001E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42B4" w14:textId="77777777" w:rsidR="00EA5DF0" w:rsidRDefault="00EA5DF0">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2EC7B15C" w14:textId="77777777" w:rsidR="00EA5DF0" w:rsidRDefault="00EA5DF0">
    <w:pPr>
      <w:pStyle w:val="Header"/>
      <w:rPr>
        <w:rtl/>
      </w:rPr>
    </w:pPr>
  </w:p>
  <w:p w14:paraId="3DEBD237" w14:textId="77777777" w:rsidR="00EA5DF0" w:rsidRDefault="00EA5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CA52" w14:textId="347B5C11" w:rsidR="00EA5DF0" w:rsidRDefault="00EA5DF0">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A26221">
      <w:rPr>
        <w:rStyle w:val="PageNumber"/>
        <w:noProof/>
        <w:rtl/>
      </w:rPr>
      <w:t>90</w:t>
    </w:r>
    <w:r>
      <w:rPr>
        <w:rStyle w:val="PageNumber"/>
        <w:rtl/>
      </w:rPr>
      <w:fldChar w:fldCharType="end"/>
    </w:r>
  </w:p>
  <w:p w14:paraId="602CA399" w14:textId="77777777" w:rsidR="00EA5DF0" w:rsidRDefault="00EA5DF0">
    <w:pPr>
      <w:pStyle w:val="Header"/>
      <w:rPr>
        <w:rtl/>
      </w:rPr>
    </w:pPr>
  </w:p>
  <w:p w14:paraId="2B8D0F82" w14:textId="77777777" w:rsidR="00EA5DF0" w:rsidRDefault="00EA5D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363" w:type="dxa"/>
      <w:tblLook w:val="0000" w:firstRow="0" w:lastRow="0" w:firstColumn="0" w:lastColumn="0" w:noHBand="0" w:noVBand="0"/>
    </w:tblPr>
    <w:tblGrid>
      <w:gridCol w:w="8363"/>
    </w:tblGrid>
    <w:tr w:rsidR="00EA5DF0" w14:paraId="6B056C35" w14:textId="77777777" w:rsidTr="00EC23AC">
      <w:trPr>
        <w:trHeight w:val="342"/>
      </w:trPr>
      <w:tc>
        <w:tcPr>
          <w:tcW w:w="9828" w:type="dxa"/>
        </w:tcPr>
        <w:p w14:paraId="5F376408" w14:textId="77777777" w:rsidR="00EA5DF0" w:rsidRPr="002F7BB6" w:rsidRDefault="00EA5DF0" w:rsidP="00045B4D">
          <w:pPr>
            <w:pStyle w:val="Casenameintextbody"/>
            <w:jc w:val="center"/>
            <w:rPr>
              <w:u w:val="none"/>
              <w:rtl/>
            </w:rPr>
          </w:pPr>
          <w:r w:rsidRPr="002F7BB6">
            <w:rPr>
              <w:noProof/>
              <w:sz w:val="16"/>
              <w:szCs w:val="18"/>
              <w:u w:val="none"/>
              <w:rtl/>
            </w:rPr>
            <w:drawing>
              <wp:inline distT="0" distB="0" distL="0" distR="0" wp14:anchorId="6580AA4A" wp14:editId="1411BBA4">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14:paraId="4A151D45" w14:textId="77777777" w:rsidR="00EA5DF0" w:rsidRDefault="00EA5DF0" w:rsidP="00045B4D">
    <w:pPr>
      <w:pStyle w:val="Header"/>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186A21D0"/>
    <w:lvl w:ilvl="0" w:tplc="70665A4A">
      <w:start w:val="1"/>
      <w:numFmt w:val="decimal"/>
      <w:pStyle w:val="Ruller4"/>
      <w:lvlText w:val="%1."/>
      <w:lvlJc w:val="left"/>
      <w:pPr>
        <w:tabs>
          <w:tab w:val="num" w:pos="907"/>
        </w:tabs>
        <w:ind w:left="0" w:firstLine="0"/>
      </w:pPr>
      <w:rPr>
        <w:rFonts w:ascii="Century" w:hAnsi="Century" w:cs="FrankRuehl"/>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lang w:val="en-US"/>
      </w:rPr>
    </w:lvl>
    <w:lvl w:ilvl="1" w:tplc="0EDC7EE4">
      <w:start w:val="1"/>
      <w:numFmt w:val="lowerLetter"/>
      <w:lvlText w:val="%2."/>
      <w:lvlJc w:val="left"/>
      <w:pPr>
        <w:tabs>
          <w:tab w:val="num" w:pos="1440"/>
        </w:tabs>
        <w:ind w:left="1440" w:hanging="360"/>
      </w:pPr>
    </w:lvl>
    <w:lvl w:ilvl="2" w:tplc="9148E48A">
      <w:start w:val="1"/>
      <w:numFmt w:val="lowerRoman"/>
      <w:lvlText w:val="%3."/>
      <w:lvlJc w:val="right"/>
      <w:pPr>
        <w:tabs>
          <w:tab w:val="num" w:pos="2160"/>
        </w:tabs>
        <w:ind w:left="2160" w:hanging="180"/>
      </w:pPr>
    </w:lvl>
    <w:lvl w:ilvl="3" w:tplc="2340B918" w:tentative="1">
      <w:start w:val="1"/>
      <w:numFmt w:val="decimal"/>
      <w:lvlText w:val="%4."/>
      <w:lvlJc w:val="left"/>
      <w:pPr>
        <w:tabs>
          <w:tab w:val="num" w:pos="2880"/>
        </w:tabs>
        <w:ind w:left="2880" w:hanging="360"/>
      </w:pPr>
    </w:lvl>
    <w:lvl w:ilvl="4" w:tplc="76564B24" w:tentative="1">
      <w:start w:val="1"/>
      <w:numFmt w:val="lowerLetter"/>
      <w:lvlText w:val="%5."/>
      <w:lvlJc w:val="left"/>
      <w:pPr>
        <w:tabs>
          <w:tab w:val="num" w:pos="3600"/>
        </w:tabs>
        <w:ind w:left="3600" w:hanging="360"/>
      </w:pPr>
    </w:lvl>
    <w:lvl w:ilvl="5" w:tplc="2416DD02" w:tentative="1">
      <w:start w:val="1"/>
      <w:numFmt w:val="lowerRoman"/>
      <w:lvlText w:val="%6."/>
      <w:lvlJc w:val="right"/>
      <w:pPr>
        <w:tabs>
          <w:tab w:val="num" w:pos="4320"/>
        </w:tabs>
        <w:ind w:left="4320" w:hanging="180"/>
      </w:pPr>
    </w:lvl>
    <w:lvl w:ilvl="6" w:tplc="504E1E94" w:tentative="1">
      <w:start w:val="1"/>
      <w:numFmt w:val="decimal"/>
      <w:lvlText w:val="%7."/>
      <w:lvlJc w:val="left"/>
      <w:pPr>
        <w:tabs>
          <w:tab w:val="num" w:pos="5040"/>
        </w:tabs>
        <w:ind w:left="5040" w:hanging="360"/>
      </w:pPr>
    </w:lvl>
    <w:lvl w:ilvl="7" w:tplc="67303572" w:tentative="1">
      <w:start w:val="1"/>
      <w:numFmt w:val="lowerLetter"/>
      <w:lvlText w:val="%8."/>
      <w:lvlJc w:val="left"/>
      <w:pPr>
        <w:tabs>
          <w:tab w:val="num" w:pos="5760"/>
        </w:tabs>
        <w:ind w:left="5760" w:hanging="360"/>
      </w:pPr>
    </w:lvl>
    <w:lvl w:ilvl="8" w:tplc="CDE8D66C" w:tentative="1">
      <w:start w:val="1"/>
      <w:numFmt w:val="lowerRoman"/>
      <w:lvlText w:val="%9."/>
      <w:lvlJc w:val="right"/>
      <w:pPr>
        <w:tabs>
          <w:tab w:val="num" w:pos="6480"/>
        </w:tabs>
        <w:ind w:left="6480" w:hanging="180"/>
      </w:pPr>
    </w:lvl>
  </w:abstractNum>
  <w:abstractNum w:abstractNumId="11" w15:restartNumberingAfterBreak="0">
    <w:nsid w:val="08A70D4D"/>
    <w:multiLevelType w:val="hybridMultilevel"/>
    <w:tmpl w:val="1632CFA2"/>
    <w:lvl w:ilvl="0" w:tplc="D57EDCCA">
      <w:start w:val="1"/>
      <w:numFmt w:val="decimal"/>
      <w:lvlText w:val="%1."/>
      <w:lvlJc w:val="left"/>
      <w:pPr>
        <w:ind w:left="720" w:hanging="360"/>
      </w:pPr>
      <w:rPr>
        <w:rFonts w:hint="default"/>
      </w:rPr>
    </w:lvl>
    <w:lvl w:ilvl="1" w:tplc="AC362E6C" w:tentative="1">
      <w:start w:val="1"/>
      <w:numFmt w:val="lowerLetter"/>
      <w:lvlText w:val="%2."/>
      <w:lvlJc w:val="left"/>
      <w:pPr>
        <w:ind w:left="1440" w:hanging="360"/>
      </w:pPr>
    </w:lvl>
    <w:lvl w:ilvl="2" w:tplc="396E8264" w:tentative="1">
      <w:start w:val="1"/>
      <w:numFmt w:val="lowerRoman"/>
      <w:lvlText w:val="%3."/>
      <w:lvlJc w:val="right"/>
      <w:pPr>
        <w:ind w:left="2160" w:hanging="180"/>
      </w:pPr>
    </w:lvl>
    <w:lvl w:ilvl="3" w:tplc="999EDD5A" w:tentative="1">
      <w:start w:val="1"/>
      <w:numFmt w:val="decimal"/>
      <w:lvlText w:val="%4."/>
      <w:lvlJc w:val="left"/>
      <w:pPr>
        <w:ind w:left="2880" w:hanging="360"/>
      </w:pPr>
    </w:lvl>
    <w:lvl w:ilvl="4" w:tplc="4D483EC8" w:tentative="1">
      <w:start w:val="1"/>
      <w:numFmt w:val="lowerLetter"/>
      <w:lvlText w:val="%5."/>
      <w:lvlJc w:val="left"/>
      <w:pPr>
        <w:ind w:left="3600" w:hanging="360"/>
      </w:pPr>
    </w:lvl>
    <w:lvl w:ilvl="5" w:tplc="DE6ECE6E" w:tentative="1">
      <w:start w:val="1"/>
      <w:numFmt w:val="lowerRoman"/>
      <w:lvlText w:val="%6."/>
      <w:lvlJc w:val="right"/>
      <w:pPr>
        <w:ind w:left="4320" w:hanging="180"/>
      </w:pPr>
    </w:lvl>
    <w:lvl w:ilvl="6" w:tplc="040A5190" w:tentative="1">
      <w:start w:val="1"/>
      <w:numFmt w:val="decimal"/>
      <w:lvlText w:val="%7."/>
      <w:lvlJc w:val="left"/>
      <w:pPr>
        <w:ind w:left="5040" w:hanging="360"/>
      </w:pPr>
    </w:lvl>
    <w:lvl w:ilvl="7" w:tplc="6910FA34" w:tentative="1">
      <w:start w:val="1"/>
      <w:numFmt w:val="lowerLetter"/>
      <w:lvlText w:val="%8."/>
      <w:lvlJc w:val="left"/>
      <w:pPr>
        <w:ind w:left="5760" w:hanging="360"/>
      </w:pPr>
    </w:lvl>
    <w:lvl w:ilvl="8" w:tplc="301AB552" w:tentative="1">
      <w:start w:val="1"/>
      <w:numFmt w:val="lowerRoman"/>
      <w:lvlText w:val="%9."/>
      <w:lvlJc w:val="right"/>
      <w:pPr>
        <w:ind w:left="6480" w:hanging="180"/>
      </w:pPr>
    </w:lvl>
  </w:abstractNum>
  <w:abstractNum w:abstractNumId="12" w15:restartNumberingAfterBreak="0">
    <w:nsid w:val="0C861EF7"/>
    <w:multiLevelType w:val="multilevel"/>
    <w:tmpl w:val="548C09D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C57929"/>
    <w:multiLevelType w:val="hybridMultilevel"/>
    <w:tmpl w:val="33A8FC80"/>
    <w:lvl w:ilvl="0" w:tplc="DC6A6F10">
      <w:start w:val="1"/>
      <w:numFmt w:val="hebrew1"/>
      <w:lvlText w:val="(%1)"/>
      <w:lvlJc w:val="left"/>
      <w:pPr>
        <w:ind w:left="720" w:hanging="360"/>
      </w:pPr>
      <w:rPr>
        <w:rFonts w:hint="default"/>
      </w:rPr>
    </w:lvl>
    <w:lvl w:ilvl="1" w:tplc="245E7350" w:tentative="1">
      <w:start w:val="1"/>
      <w:numFmt w:val="lowerLetter"/>
      <w:lvlText w:val="%2."/>
      <w:lvlJc w:val="left"/>
      <w:pPr>
        <w:ind w:left="1440" w:hanging="360"/>
      </w:pPr>
    </w:lvl>
    <w:lvl w:ilvl="2" w:tplc="2DE03EDA" w:tentative="1">
      <w:start w:val="1"/>
      <w:numFmt w:val="lowerRoman"/>
      <w:lvlText w:val="%3."/>
      <w:lvlJc w:val="right"/>
      <w:pPr>
        <w:ind w:left="2160" w:hanging="180"/>
      </w:pPr>
    </w:lvl>
    <w:lvl w:ilvl="3" w:tplc="B91CFB72" w:tentative="1">
      <w:start w:val="1"/>
      <w:numFmt w:val="decimal"/>
      <w:lvlText w:val="%4."/>
      <w:lvlJc w:val="left"/>
      <w:pPr>
        <w:ind w:left="2880" w:hanging="360"/>
      </w:pPr>
    </w:lvl>
    <w:lvl w:ilvl="4" w:tplc="D08AE006" w:tentative="1">
      <w:start w:val="1"/>
      <w:numFmt w:val="lowerLetter"/>
      <w:lvlText w:val="%5."/>
      <w:lvlJc w:val="left"/>
      <w:pPr>
        <w:ind w:left="3600" w:hanging="360"/>
      </w:pPr>
    </w:lvl>
    <w:lvl w:ilvl="5" w:tplc="DC788874" w:tentative="1">
      <w:start w:val="1"/>
      <w:numFmt w:val="lowerRoman"/>
      <w:lvlText w:val="%6."/>
      <w:lvlJc w:val="right"/>
      <w:pPr>
        <w:ind w:left="4320" w:hanging="180"/>
      </w:pPr>
    </w:lvl>
    <w:lvl w:ilvl="6" w:tplc="43F2ECF2" w:tentative="1">
      <w:start w:val="1"/>
      <w:numFmt w:val="decimal"/>
      <w:lvlText w:val="%7."/>
      <w:lvlJc w:val="left"/>
      <w:pPr>
        <w:ind w:left="5040" w:hanging="360"/>
      </w:pPr>
    </w:lvl>
    <w:lvl w:ilvl="7" w:tplc="836E7442" w:tentative="1">
      <w:start w:val="1"/>
      <w:numFmt w:val="lowerLetter"/>
      <w:lvlText w:val="%8."/>
      <w:lvlJc w:val="left"/>
      <w:pPr>
        <w:ind w:left="5760" w:hanging="360"/>
      </w:pPr>
    </w:lvl>
    <w:lvl w:ilvl="8" w:tplc="8B162F4E" w:tentative="1">
      <w:start w:val="1"/>
      <w:numFmt w:val="lowerRoman"/>
      <w:lvlText w:val="%9."/>
      <w:lvlJc w:val="right"/>
      <w:pPr>
        <w:ind w:left="6480" w:hanging="180"/>
      </w:pPr>
    </w:lvl>
  </w:abstractNum>
  <w:abstractNum w:abstractNumId="14" w15:restartNumberingAfterBreak="0">
    <w:nsid w:val="14652408"/>
    <w:multiLevelType w:val="hybridMultilevel"/>
    <w:tmpl w:val="42A67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AC64D2"/>
    <w:multiLevelType w:val="multilevel"/>
    <w:tmpl w:val="548C09D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8065F3E"/>
    <w:multiLevelType w:val="hybridMultilevel"/>
    <w:tmpl w:val="C75233C6"/>
    <w:lvl w:ilvl="0" w:tplc="F0EE9DF0">
      <w:start w:val="1"/>
      <w:numFmt w:val="hebrew1"/>
      <w:lvlText w:val="%1."/>
      <w:lvlJc w:val="left"/>
      <w:pPr>
        <w:ind w:left="720" w:hanging="360"/>
      </w:pPr>
      <w:rPr>
        <w:rFonts w:hint="default"/>
        <w:sz w:val="28"/>
      </w:rPr>
    </w:lvl>
    <w:lvl w:ilvl="1" w:tplc="681C73DE" w:tentative="1">
      <w:start w:val="1"/>
      <w:numFmt w:val="lowerLetter"/>
      <w:lvlText w:val="%2."/>
      <w:lvlJc w:val="left"/>
      <w:pPr>
        <w:ind w:left="1440" w:hanging="360"/>
      </w:pPr>
    </w:lvl>
    <w:lvl w:ilvl="2" w:tplc="8856C1AA" w:tentative="1">
      <w:start w:val="1"/>
      <w:numFmt w:val="lowerRoman"/>
      <w:lvlText w:val="%3."/>
      <w:lvlJc w:val="right"/>
      <w:pPr>
        <w:ind w:left="2160" w:hanging="180"/>
      </w:pPr>
    </w:lvl>
    <w:lvl w:ilvl="3" w:tplc="1D466772" w:tentative="1">
      <w:start w:val="1"/>
      <w:numFmt w:val="decimal"/>
      <w:lvlText w:val="%4."/>
      <w:lvlJc w:val="left"/>
      <w:pPr>
        <w:ind w:left="2880" w:hanging="360"/>
      </w:pPr>
    </w:lvl>
    <w:lvl w:ilvl="4" w:tplc="01848D90" w:tentative="1">
      <w:start w:val="1"/>
      <w:numFmt w:val="lowerLetter"/>
      <w:lvlText w:val="%5."/>
      <w:lvlJc w:val="left"/>
      <w:pPr>
        <w:ind w:left="3600" w:hanging="360"/>
      </w:pPr>
    </w:lvl>
    <w:lvl w:ilvl="5" w:tplc="36F0DFEC" w:tentative="1">
      <w:start w:val="1"/>
      <w:numFmt w:val="lowerRoman"/>
      <w:lvlText w:val="%6."/>
      <w:lvlJc w:val="right"/>
      <w:pPr>
        <w:ind w:left="4320" w:hanging="180"/>
      </w:pPr>
    </w:lvl>
    <w:lvl w:ilvl="6" w:tplc="1D6C001C" w:tentative="1">
      <w:start w:val="1"/>
      <w:numFmt w:val="decimal"/>
      <w:lvlText w:val="%7."/>
      <w:lvlJc w:val="left"/>
      <w:pPr>
        <w:ind w:left="5040" w:hanging="360"/>
      </w:pPr>
    </w:lvl>
    <w:lvl w:ilvl="7" w:tplc="7144D552" w:tentative="1">
      <w:start w:val="1"/>
      <w:numFmt w:val="lowerLetter"/>
      <w:lvlText w:val="%8."/>
      <w:lvlJc w:val="left"/>
      <w:pPr>
        <w:ind w:left="5760" w:hanging="360"/>
      </w:pPr>
    </w:lvl>
    <w:lvl w:ilvl="8" w:tplc="27BEFC8A" w:tentative="1">
      <w:start w:val="1"/>
      <w:numFmt w:val="lowerRoman"/>
      <w:lvlText w:val="%9."/>
      <w:lvlJc w:val="right"/>
      <w:pPr>
        <w:ind w:left="6480" w:hanging="180"/>
      </w:pPr>
    </w:lvl>
  </w:abstractNum>
  <w:abstractNum w:abstractNumId="17" w15:restartNumberingAfterBreak="0">
    <w:nsid w:val="1CAB04C6"/>
    <w:multiLevelType w:val="hybridMultilevel"/>
    <w:tmpl w:val="6D96B1B4"/>
    <w:lvl w:ilvl="0" w:tplc="242AC55A">
      <w:numFmt w:val="bullet"/>
      <w:lvlText w:val=""/>
      <w:lvlJc w:val="left"/>
      <w:pPr>
        <w:ind w:left="720" w:hanging="360"/>
      </w:pPr>
      <w:rPr>
        <w:rFonts w:ascii="Symbol" w:eastAsia="Times New Roman" w:hAnsi="Symbol" w:cs="FrankRuehl" w:hint="default"/>
      </w:rPr>
    </w:lvl>
    <w:lvl w:ilvl="1" w:tplc="AAF89578" w:tentative="1">
      <w:start w:val="1"/>
      <w:numFmt w:val="bullet"/>
      <w:lvlText w:val="o"/>
      <w:lvlJc w:val="left"/>
      <w:pPr>
        <w:ind w:left="1440" w:hanging="360"/>
      </w:pPr>
      <w:rPr>
        <w:rFonts w:ascii="Courier New" w:hAnsi="Courier New" w:cs="Courier New" w:hint="default"/>
      </w:rPr>
    </w:lvl>
    <w:lvl w:ilvl="2" w:tplc="AAF4EDBC" w:tentative="1">
      <w:start w:val="1"/>
      <w:numFmt w:val="bullet"/>
      <w:lvlText w:val=""/>
      <w:lvlJc w:val="left"/>
      <w:pPr>
        <w:ind w:left="2160" w:hanging="360"/>
      </w:pPr>
      <w:rPr>
        <w:rFonts w:ascii="Wingdings" w:hAnsi="Wingdings" w:hint="default"/>
      </w:rPr>
    </w:lvl>
    <w:lvl w:ilvl="3" w:tplc="D3609B70" w:tentative="1">
      <w:start w:val="1"/>
      <w:numFmt w:val="bullet"/>
      <w:lvlText w:val=""/>
      <w:lvlJc w:val="left"/>
      <w:pPr>
        <w:ind w:left="2880" w:hanging="360"/>
      </w:pPr>
      <w:rPr>
        <w:rFonts w:ascii="Symbol" w:hAnsi="Symbol" w:hint="default"/>
      </w:rPr>
    </w:lvl>
    <w:lvl w:ilvl="4" w:tplc="AD809C28" w:tentative="1">
      <w:start w:val="1"/>
      <w:numFmt w:val="bullet"/>
      <w:lvlText w:val="o"/>
      <w:lvlJc w:val="left"/>
      <w:pPr>
        <w:ind w:left="3600" w:hanging="360"/>
      </w:pPr>
      <w:rPr>
        <w:rFonts w:ascii="Courier New" w:hAnsi="Courier New" w:cs="Courier New" w:hint="default"/>
      </w:rPr>
    </w:lvl>
    <w:lvl w:ilvl="5" w:tplc="28E8D04C" w:tentative="1">
      <w:start w:val="1"/>
      <w:numFmt w:val="bullet"/>
      <w:lvlText w:val=""/>
      <w:lvlJc w:val="left"/>
      <w:pPr>
        <w:ind w:left="4320" w:hanging="360"/>
      </w:pPr>
      <w:rPr>
        <w:rFonts w:ascii="Wingdings" w:hAnsi="Wingdings" w:hint="default"/>
      </w:rPr>
    </w:lvl>
    <w:lvl w:ilvl="6" w:tplc="7A72E608" w:tentative="1">
      <w:start w:val="1"/>
      <w:numFmt w:val="bullet"/>
      <w:lvlText w:val=""/>
      <w:lvlJc w:val="left"/>
      <w:pPr>
        <w:ind w:left="5040" w:hanging="360"/>
      </w:pPr>
      <w:rPr>
        <w:rFonts w:ascii="Symbol" w:hAnsi="Symbol" w:hint="default"/>
      </w:rPr>
    </w:lvl>
    <w:lvl w:ilvl="7" w:tplc="77300590" w:tentative="1">
      <w:start w:val="1"/>
      <w:numFmt w:val="bullet"/>
      <w:lvlText w:val="o"/>
      <w:lvlJc w:val="left"/>
      <w:pPr>
        <w:ind w:left="5760" w:hanging="360"/>
      </w:pPr>
      <w:rPr>
        <w:rFonts w:ascii="Courier New" w:hAnsi="Courier New" w:cs="Courier New" w:hint="default"/>
      </w:rPr>
    </w:lvl>
    <w:lvl w:ilvl="8" w:tplc="DD0223CA" w:tentative="1">
      <w:start w:val="1"/>
      <w:numFmt w:val="bullet"/>
      <w:lvlText w:val=""/>
      <w:lvlJc w:val="left"/>
      <w:pPr>
        <w:ind w:left="6480" w:hanging="360"/>
      </w:pPr>
      <w:rPr>
        <w:rFonts w:ascii="Wingdings" w:hAnsi="Wingdings" w:hint="default"/>
      </w:rPr>
    </w:lvl>
  </w:abstractNum>
  <w:abstractNum w:abstractNumId="18" w15:restartNumberingAfterBreak="0">
    <w:nsid w:val="297E7127"/>
    <w:multiLevelType w:val="multilevel"/>
    <w:tmpl w:val="29120F9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08598B"/>
    <w:multiLevelType w:val="multilevel"/>
    <w:tmpl w:val="DF8CA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EC1055"/>
    <w:multiLevelType w:val="hybridMultilevel"/>
    <w:tmpl w:val="80804552"/>
    <w:lvl w:ilvl="0" w:tplc="802220A4">
      <w:numFmt w:val="bullet"/>
      <w:lvlText w:val="-"/>
      <w:lvlJc w:val="left"/>
      <w:pPr>
        <w:ind w:left="720" w:hanging="360"/>
      </w:pPr>
      <w:rPr>
        <w:rFonts w:ascii="Arial TUR" w:eastAsia="Times New Roman" w:hAnsi="Arial TUR" w:cs="FrankRuehl" w:hint="default"/>
      </w:rPr>
    </w:lvl>
    <w:lvl w:ilvl="1" w:tplc="8E3CFF30">
      <w:start w:val="1"/>
      <w:numFmt w:val="bullet"/>
      <w:lvlText w:val="o"/>
      <w:lvlJc w:val="left"/>
      <w:pPr>
        <w:ind w:left="1440" w:hanging="360"/>
      </w:pPr>
      <w:rPr>
        <w:rFonts w:ascii="Courier New" w:hAnsi="Courier New" w:cs="Courier New" w:hint="default"/>
      </w:rPr>
    </w:lvl>
    <w:lvl w:ilvl="2" w:tplc="A294A1DE">
      <w:start w:val="1"/>
      <w:numFmt w:val="bullet"/>
      <w:lvlText w:val=""/>
      <w:lvlJc w:val="left"/>
      <w:pPr>
        <w:ind w:left="2160" w:hanging="360"/>
      </w:pPr>
      <w:rPr>
        <w:rFonts w:ascii="Wingdings" w:hAnsi="Wingdings" w:hint="default"/>
      </w:rPr>
    </w:lvl>
    <w:lvl w:ilvl="3" w:tplc="45E60100" w:tentative="1">
      <w:start w:val="1"/>
      <w:numFmt w:val="bullet"/>
      <w:lvlText w:val=""/>
      <w:lvlJc w:val="left"/>
      <w:pPr>
        <w:ind w:left="2880" w:hanging="360"/>
      </w:pPr>
      <w:rPr>
        <w:rFonts w:ascii="Symbol" w:hAnsi="Symbol" w:hint="default"/>
      </w:rPr>
    </w:lvl>
    <w:lvl w:ilvl="4" w:tplc="AF0AAEEC" w:tentative="1">
      <w:start w:val="1"/>
      <w:numFmt w:val="bullet"/>
      <w:lvlText w:val="o"/>
      <w:lvlJc w:val="left"/>
      <w:pPr>
        <w:ind w:left="3600" w:hanging="360"/>
      </w:pPr>
      <w:rPr>
        <w:rFonts w:ascii="Courier New" w:hAnsi="Courier New" w:cs="Courier New" w:hint="default"/>
      </w:rPr>
    </w:lvl>
    <w:lvl w:ilvl="5" w:tplc="2C04FFBC" w:tentative="1">
      <w:start w:val="1"/>
      <w:numFmt w:val="bullet"/>
      <w:lvlText w:val=""/>
      <w:lvlJc w:val="left"/>
      <w:pPr>
        <w:ind w:left="4320" w:hanging="360"/>
      </w:pPr>
      <w:rPr>
        <w:rFonts w:ascii="Wingdings" w:hAnsi="Wingdings" w:hint="default"/>
      </w:rPr>
    </w:lvl>
    <w:lvl w:ilvl="6" w:tplc="809693DA" w:tentative="1">
      <w:start w:val="1"/>
      <w:numFmt w:val="bullet"/>
      <w:lvlText w:val=""/>
      <w:lvlJc w:val="left"/>
      <w:pPr>
        <w:ind w:left="5040" w:hanging="360"/>
      </w:pPr>
      <w:rPr>
        <w:rFonts w:ascii="Symbol" w:hAnsi="Symbol" w:hint="default"/>
      </w:rPr>
    </w:lvl>
    <w:lvl w:ilvl="7" w:tplc="B2A0497E" w:tentative="1">
      <w:start w:val="1"/>
      <w:numFmt w:val="bullet"/>
      <w:lvlText w:val="o"/>
      <w:lvlJc w:val="left"/>
      <w:pPr>
        <w:ind w:left="5760" w:hanging="360"/>
      </w:pPr>
      <w:rPr>
        <w:rFonts w:ascii="Courier New" w:hAnsi="Courier New" w:cs="Courier New" w:hint="default"/>
      </w:rPr>
    </w:lvl>
    <w:lvl w:ilvl="8" w:tplc="E4E0F13A" w:tentative="1">
      <w:start w:val="1"/>
      <w:numFmt w:val="bullet"/>
      <w:lvlText w:val=""/>
      <w:lvlJc w:val="left"/>
      <w:pPr>
        <w:ind w:left="6480" w:hanging="360"/>
      </w:pPr>
      <w:rPr>
        <w:rFonts w:ascii="Wingdings" w:hAnsi="Wingdings" w:hint="default"/>
      </w:rPr>
    </w:lvl>
  </w:abstractNum>
  <w:abstractNum w:abstractNumId="21" w15:restartNumberingAfterBreak="0">
    <w:nsid w:val="36A642DA"/>
    <w:multiLevelType w:val="multilevel"/>
    <w:tmpl w:val="77823FC2"/>
    <w:lvl w:ilvl="0">
      <w:start w:val="1"/>
      <w:numFmt w:val="decimal"/>
      <w:lvlText w:val="%1."/>
      <w:lvlJc w:val="left"/>
      <w:pPr>
        <w:tabs>
          <w:tab w:val="num" w:pos="7427"/>
        </w:tabs>
        <w:ind w:left="6520" w:firstLine="0"/>
      </w:pPr>
      <w:rPr>
        <w:rFonts w:ascii="Century" w:hAnsi="Century" w:cs="FrankRuehl"/>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067F33"/>
    <w:multiLevelType w:val="hybridMultilevel"/>
    <w:tmpl w:val="8D5A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37C51"/>
    <w:multiLevelType w:val="multilevel"/>
    <w:tmpl w:val="EBC8F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0F52FB4"/>
    <w:multiLevelType w:val="hybridMultilevel"/>
    <w:tmpl w:val="1FCE6FF4"/>
    <w:lvl w:ilvl="0" w:tplc="8E48D1D0">
      <w:numFmt w:val="bullet"/>
      <w:lvlText w:val="-"/>
      <w:lvlJc w:val="left"/>
      <w:pPr>
        <w:ind w:left="720" w:hanging="360"/>
      </w:pPr>
      <w:rPr>
        <w:rFonts w:ascii="Century" w:eastAsia="Times New Roman" w:hAnsi="Century" w:cs="Miriam" w:hint="default"/>
      </w:rPr>
    </w:lvl>
    <w:lvl w:ilvl="1" w:tplc="B116430C" w:tentative="1">
      <w:start w:val="1"/>
      <w:numFmt w:val="bullet"/>
      <w:lvlText w:val="o"/>
      <w:lvlJc w:val="left"/>
      <w:pPr>
        <w:ind w:left="1440" w:hanging="360"/>
      </w:pPr>
      <w:rPr>
        <w:rFonts w:ascii="Courier New" w:hAnsi="Courier New" w:cs="Courier New" w:hint="default"/>
      </w:rPr>
    </w:lvl>
    <w:lvl w:ilvl="2" w:tplc="7954FEDE" w:tentative="1">
      <w:start w:val="1"/>
      <w:numFmt w:val="bullet"/>
      <w:lvlText w:val=""/>
      <w:lvlJc w:val="left"/>
      <w:pPr>
        <w:ind w:left="2160" w:hanging="360"/>
      </w:pPr>
      <w:rPr>
        <w:rFonts w:ascii="Wingdings" w:hAnsi="Wingdings" w:hint="default"/>
      </w:rPr>
    </w:lvl>
    <w:lvl w:ilvl="3" w:tplc="18FA9A9C" w:tentative="1">
      <w:start w:val="1"/>
      <w:numFmt w:val="bullet"/>
      <w:lvlText w:val=""/>
      <w:lvlJc w:val="left"/>
      <w:pPr>
        <w:ind w:left="2880" w:hanging="360"/>
      </w:pPr>
      <w:rPr>
        <w:rFonts w:ascii="Symbol" w:hAnsi="Symbol" w:hint="default"/>
      </w:rPr>
    </w:lvl>
    <w:lvl w:ilvl="4" w:tplc="C1902470" w:tentative="1">
      <w:start w:val="1"/>
      <w:numFmt w:val="bullet"/>
      <w:lvlText w:val="o"/>
      <w:lvlJc w:val="left"/>
      <w:pPr>
        <w:ind w:left="3600" w:hanging="360"/>
      </w:pPr>
      <w:rPr>
        <w:rFonts w:ascii="Courier New" w:hAnsi="Courier New" w:cs="Courier New" w:hint="default"/>
      </w:rPr>
    </w:lvl>
    <w:lvl w:ilvl="5" w:tplc="679091F6" w:tentative="1">
      <w:start w:val="1"/>
      <w:numFmt w:val="bullet"/>
      <w:lvlText w:val=""/>
      <w:lvlJc w:val="left"/>
      <w:pPr>
        <w:ind w:left="4320" w:hanging="360"/>
      </w:pPr>
      <w:rPr>
        <w:rFonts w:ascii="Wingdings" w:hAnsi="Wingdings" w:hint="default"/>
      </w:rPr>
    </w:lvl>
    <w:lvl w:ilvl="6" w:tplc="F0DA7B76" w:tentative="1">
      <w:start w:val="1"/>
      <w:numFmt w:val="bullet"/>
      <w:lvlText w:val=""/>
      <w:lvlJc w:val="left"/>
      <w:pPr>
        <w:ind w:left="5040" w:hanging="360"/>
      </w:pPr>
      <w:rPr>
        <w:rFonts w:ascii="Symbol" w:hAnsi="Symbol" w:hint="default"/>
      </w:rPr>
    </w:lvl>
    <w:lvl w:ilvl="7" w:tplc="CE507C42" w:tentative="1">
      <w:start w:val="1"/>
      <w:numFmt w:val="bullet"/>
      <w:lvlText w:val="o"/>
      <w:lvlJc w:val="left"/>
      <w:pPr>
        <w:ind w:left="5760" w:hanging="360"/>
      </w:pPr>
      <w:rPr>
        <w:rFonts w:ascii="Courier New" w:hAnsi="Courier New" w:cs="Courier New" w:hint="default"/>
      </w:rPr>
    </w:lvl>
    <w:lvl w:ilvl="8" w:tplc="4F8E8C1C" w:tentative="1">
      <w:start w:val="1"/>
      <w:numFmt w:val="bullet"/>
      <w:lvlText w:val=""/>
      <w:lvlJc w:val="left"/>
      <w:pPr>
        <w:ind w:left="6480" w:hanging="360"/>
      </w:pPr>
      <w:rPr>
        <w:rFonts w:ascii="Wingdings" w:hAnsi="Wingdings" w:hint="default"/>
      </w:rPr>
    </w:lvl>
  </w:abstractNum>
  <w:abstractNum w:abstractNumId="25" w15:restartNumberingAfterBreak="0">
    <w:nsid w:val="44203295"/>
    <w:multiLevelType w:val="hybridMultilevel"/>
    <w:tmpl w:val="BC241FF2"/>
    <w:lvl w:ilvl="0" w:tplc="D46CD656">
      <w:start w:val="6"/>
      <w:numFmt w:val="bullet"/>
      <w:lvlText w:val="-"/>
      <w:lvlJc w:val="left"/>
      <w:pPr>
        <w:ind w:left="435" w:hanging="360"/>
      </w:pPr>
      <w:rPr>
        <w:rFonts w:ascii="Century" w:eastAsia="Times New Roman" w:hAnsi="Century" w:cs="FrankRuehl" w:hint="default"/>
      </w:rPr>
    </w:lvl>
    <w:lvl w:ilvl="1" w:tplc="5978B4A4" w:tentative="1">
      <w:start w:val="1"/>
      <w:numFmt w:val="bullet"/>
      <w:lvlText w:val="o"/>
      <w:lvlJc w:val="left"/>
      <w:pPr>
        <w:ind w:left="1155" w:hanging="360"/>
      </w:pPr>
      <w:rPr>
        <w:rFonts w:ascii="Courier New" w:hAnsi="Courier New" w:cs="Courier New" w:hint="default"/>
      </w:rPr>
    </w:lvl>
    <w:lvl w:ilvl="2" w:tplc="7C74DEB8" w:tentative="1">
      <w:start w:val="1"/>
      <w:numFmt w:val="bullet"/>
      <w:lvlText w:val=""/>
      <w:lvlJc w:val="left"/>
      <w:pPr>
        <w:ind w:left="1875" w:hanging="360"/>
      </w:pPr>
      <w:rPr>
        <w:rFonts w:ascii="Wingdings" w:hAnsi="Wingdings" w:hint="default"/>
      </w:rPr>
    </w:lvl>
    <w:lvl w:ilvl="3" w:tplc="CBE25566" w:tentative="1">
      <w:start w:val="1"/>
      <w:numFmt w:val="bullet"/>
      <w:lvlText w:val=""/>
      <w:lvlJc w:val="left"/>
      <w:pPr>
        <w:ind w:left="2595" w:hanging="360"/>
      </w:pPr>
      <w:rPr>
        <w:rFonts w:ascii="Symbol" w:hAnsi="Symbol" w:hint="default"/>
      </w:rPr>
    </w:lvl>
    <w:lvl w:ilvl="4" w:tplc="B5FAB85A" w:tentative="1">
      <w:start w:val="1"/>
      <w:numFmt w:val="bullet"/>
      <w:lvlText w:val="o"/>
      <w:lvlJc w:val="left"/>
      <w:pPr>
        <w:ind w:left="3315" w:hanging="360"/>
      </w:pPr>
      <w:rPr>
        <w:rFonts w:ascii="Courier New" w:hAnsi="Courier New" w:cs="Courier New" w:hint="default"/>
      </w:rPr>
    </w:lvl>
    <w:lvl w:ilvl="5" w:tplc="FE3E2354" w:tentative="1">
      <w:start w:val="1"/>
      <w:numFmt w:val="bullet"/>
      <w:lvlText w:val=""/>
      <w:lvlJc w:val="left"/>
      <w:pPr>
        <w:ind w:left="4035" w:hanging="360"/>
      </w:pPr>
      <w:rPr>
        <w:rFonts w:ascii="Wingdings" w:hAnsi="Wingdings" w:hint="default"/>
      </w:rPr>
    </w:lvl>
    <w:lvl w:ilvl="6" w:tplc="C65403A6" w:tentative="1">
      <w:start w:val="1"/>
      <w:numFmt w:val="bullet"/>
      <w:lvlText w:val=""/>
      <w:lvlJc w:val="left"/>
      <w:pPr>
        <w:ind w:left="4755" w:hanging="360"/>
      </w:pPr>
      <w:rPr>
        <w:rFonts w:ascii="Symbol" w:hAnsi="Symbol" w:hint="default"/>
      </w:rPr>
    </w:lvl>
    <w:lvl w:ilvl="7" w:tplc="62CC8364" w:tentative="1">
      <w:start w:val="1"/>
      <w:numFmt w:val="bullet"/>
      <w:lvlText w:val="o"/>
      <w:lvlJc w:val="left"/>
      <w:pPr>
        <w:ind w:left="5475" w:hanging="360"/>
      </w:pPr>
      <w:rPr>
        <w:rFonts w:ascii="Courier New" w:hAnsi="Courier New" w:cs="Courier New" w:hint="default"/>
      </w:rPr>
    </w:lvl>
    <w:lvl w:ilvl="8" w:tplc="22C2DD58" w:tentative="1">
      <w:start w:val="1"/>
      <w:numFmt w:val="bullet"/>
      <w:lvlText w:val=""/>
      <w:lvlJc w:val="left"/>
      <w:pPr>
        <w:ind w:left="6195" w:hanging="360"/>
      </w:pPr>
      <w:rPr>
        <w:rFonts w:ascii="Wingdings" w:hAnsi="Wingdings" w:hint="default"/>
      </w:rPr>
    </w:lvl>
  </w:abstractNum>
  <w:abstractNum w:abstractNumId="26" w15:restartNumberingAfterBreak="0">
    <w:nsid w:val="44A003E2"/>
    <w:multiLevelType w:val="hybridMultilevel"/>
    <w:tmpl w:val="83B40A4A"/>
    <w:lvl w:ilvl="0" w:tplc="6786E154">
      <w:numFmt w:val="bullet"/>
      <w:lvlText w:val="-"/>
      <w:lvlJc w:val="left"/>
      <w:pPr>
        <w:ind w:left="720" w:hanging="360"/>
      </w:pPr>
      <w:rPr>
        <w:rFonts w:ascii="Century" w:eastAsia="Times New Roman" w:hAnsi="Century" w:cs="FrankRuehl" w:hint="default"/>
      </w:rPr>
    </w:lvl>
    <w:lvl w:ilvl="1" w:tplc="F8BAC09C" w:tentative="1">
      <w:start w:val="1"/>
      <w:numFmt w:val="bullet"/>
      <w:lvlText w:val="o"/>
      <w:lvlJc w:val="left"/>
      <w:pPr>
        <w:ind w:left="1440" w:hanging="360"/>
      </w:pPr>
      <w:rPr>
        <w:rFonts w:ascii="Courier New" w:hAnsi="Courier New" w:cs="Courier New" w:hint="default"/>
      </w:rPr>
    </w:lvl>
    <w:lvl w:ilvl="2" w:tplc="BC9E6D0A" w:tentative="1">
      <w:start w:val="1"/>
      <w:numFmt w:val="bullet"/>
      <w:lvlText w:val=""/>
      <w:lvlJc w:val="left"/>
      <w:pPr>
        <w:ind w:left="2160" w:hanging="360"/>
      </w:pPr>
      <w:rPr>
        <w:rFonts w:ascii="Wingdings" w:hAnsi="Wingdings" w:hint="default"/>
      </w:rPr>
    </w:lvl>
    <w:lvl w:ilvl="3" w:tplc="80DE433E" w:tentative="1">
      <w:start w:val="1"/>
      <w:numFmt w:val="bullet"/>
      <w:lvlText w:val=""/>
      <w:lvlJc w:val="left"/>
      <w:pPr>
        <w:ind w:left="2880" w:hanging="360"/>
      </w:pPr>
      <w:rPr>
        <w:rFonts w:ascii="Symbol" w:hAnsi="Symbol" w:hint="default"/>
      </w:rPr>
    </w:lvl>
    <w:lvl w:ilvl="4" w:tplc="FF86409C" w:tentative="1">
      <w:start w:val="1"/>
      <w:numFmt w:val="bullet"/>
      <w:lvlText w:val="o"/>
      <w:lvlJc w:val="left"/>
      <w:pPr>
        <w:ind w:left="3600" w:hanging="360"/>
      </w:pPr>
      <w:rPr>
        <w:rFonts w:ascii="Courier New" w:hAnsi="Courier New" w:cs="Courier New" w:hint="default"/>
      </w:rPr>
    </w:lvl>
    <w:lvl w:ilvl="5" w:tplc="2A820E5E" w:tentative="1">
      <w:start w:val="1"/>
      <w:numFmt w:val="bullet"/>
      <w:lvlText w:val=""/>
      <w:lvlJc w:val="left"/>
      <w:pPr>
        <w:ind w:left="4320" w:hanging="360"/>
      </w:pPr>
      <w:rPr>
        <w:rFonts w:ascii="Wingdings" w:hAnsi="Wingdings" w:hint="default"/>
      </w:rPr>
    </w:lvl>
    <w:lvl w:ilvl="6" w:tplc="78409150" w:tentative="1">
      <w:start w:val="1"/>
      <w:numFmt w:val="bullet"/>
      <w:lvlText w:val=""/>
      <w:lvlJc w:val="left"/>
      <w:pPr>
        <w:ind w:left="5040" w:hanging="360"/>
      </w:pPr>
      <w:rPr>
        <w:rFonts w:ascii="Symbol" w:hAnsi="Symbol" w:hint="default"/>
      </w:rPr>
    </w:lvl>
    <w:lvl w:ilvl="7" w:tplc="510477E4" w:tentative="1">
      <w:start w:val="1"/>
      <w:numFmt w:val="bullet"/>
      <w:lvlText w:val="o"/>
      <w:lvlJc w:val="left"/>
      <w:pPr>
        <w:ind w:left="5760" w:hanging="360"/>
      </w:pPr>
      <w:rPr>
        <w:rFonts w:ascii="Courier New" w:hAnsi="Courier New" w:cs="Courier New" w:hint="default"/>
      </w:rPr>
    </w:lvl>
    <w:lvl w:ilvl="8" w:tplc="FDCAB904" w:tentative="1">
      <w:start w:val="1"/>
      <w:numFmt w:val="bullet"/>
      <w:lvlText w:val=""/>
      <w:lvlJc w:val="left"/>
      <w:pPr>
        <w:ind w:left="6480" w:hanging="360"/>
      </w:pPr>
      <w:rPr>
        <w:rFonts w:ascii="Wingdings" w:hAnsi="Wingdings" w:hint="default"/>
      </w:rPr>
    </w:lvl>
  </w:abstractNum>
  <w:abstractNum w:abstractNumId="27" w15:restartNumberingAfterBreak="0">
    <w:nsid w:val="454D6D7E"/>
    <w:multiLevelType w:val="hybridMultilevel"/>
    <w:tmpl w:val="C0AE7C34"/>
    <w:lvl w:ilvl="0" w:tplc="02302CE6">
      <w:start w:val="3"/>
      <w:numFmt w:val="bullet"/>
      <w:lvlText w:val="-"/>
      <w:lvlJc w:val="left"/>
      <w:pPr>
        <w:ind w:left="720" w:hanging="360"/>
      </w:pPr>
      <w:rPr>
        <w:rFonts w:ascii="Arial TUR" w:eastAsia="Times New Roman" w:hAnsi="Arial TUR" w:cs="FrankRueh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E2DAE"/>
    <w:multiLevelType w:val="hybridMultilevel"/>
    <w:tmpl w:val="6822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E70B62"/>
    <w:multiLevelType w:val="hybridMultilevel"/>
    <w:tmpl w:val="ADA8711E"/>
    <w:lvl w:ilvl="0" w:tplc="9CFCE354">
      <w:start w:val="1"/>
      <w:numFmt w:val="hebrew1"/>
      <w:pStyle w:val="Ruller40"/>
      <w:lvlText w:val="%1."/>
      <w:lvlJc w:val="left"/>
      <w:pPr>
        <w:tabs>
          <w:tab w:val="num" w:pos="907"/>
        </w:tabs>
        <w:ind w:left="0" w:firstLine="0"/>
      </w:pPr>
      <w:rPr>
        <w:rFonts w:hint="default"/>
      </w:rPr>
    </w:lvl>
    <w:lvl w:ilvl="1" w:tplc="B720D56E" w:tentative="1">
      <w:start w:val="1"/>
      <w:numFmt w:val="lowerLetter"/>
      <w:lvlText w:val="%2."/>
      <w:lvlJc w:val="left"/>
      <w:pPr>
        <w:tabs>
          <w:tab w:val="num" w:pos="1440"/>
        </w:tabs>
        <w:ind w:left="1440" w:hanging="360"/>
      </w:pPr>
    </w:lvl>
    <w:lvl w:ilvl="2" w:tplc="9B603C06" w:tentative="1">
      <w:start w:val="1"/>
      <w:numFmt w:val="lowerRoman"/>
      <w:lvlText w:val="%3."/>
      <w:lvlJc w:val="right"/>
      <w:pPr>
        <w:tabs>
          <w:tab w:val="num" w:pos="2160"/>
        </w:tabs>
        <w:ind w:left="2160" w:hanging="180"/>
      </w:pPr>
    </w:lvl>
    <w:lvl w:ilvl="3" w:tplc="1C844B0E" w:tentative="1">
      <w:start w:val="1"/>
      <w:numFmt w:val="decimal"/>
      <w:lvlText w:val="%4."/>
      <w:lvlJc w:val="left"/>
      <w:pPr>
        <w:tabs>
          <w:tab w:val="num" w:pos="2880"/>
        </w:tabs>
        <w:ind w:left="2880" w:hanging="360"/>
      </w:pPr>
    </w:lvl>
    <w:lvl w:ilvl="4" w:tplc="C7025292" w:tentative="1">
      <w:start w:val="1"/>
      <w:numFmt w:val="lowerLetter"/>
      <w:lvlText w:val="%5."/>
      <w:lvlJc w:val="left"/>
      <w:pPr>
        <w:tabs>
          <w:tab w:val="num" w:pos="3600"/>
        </w:tabs>
        <w:ind w:left="3600" w:hanging="360"/>
      </w:pPr>
    </w:lvl>
    <w:lvl w:ilvl="5" w:tplc="3496E8EA" w:tentative="1">
      <w:start w:val="1"/>
      <w:numFmt w:val="lowerRoman"/>
      <w:lvlText w:val="%6."/>
      <w:lvlJc w:val="right"/>
      <w:pPr>
        <w:tabs>
          <w:tab w:val="num" w:pos="4320"/>
        </w:tabs>
        <w:ind w:left="4320" w:hanging="180"/>
      </w:pPr>
    </w:lvl>
    <w:lvl w:ilvl="6" w:tplc="1436B454" w:tentative="1">
      <w:start w:val="1"/>
      <w:numFmt w:val="decimal"/>
      <w:lvlText w:val="%7."/>
      <w:lvlJc w:val="left"/>
      <w:pPr>
        <w:tabs>
          <w:tab w:val="num" w:pos="5040"/>
        </w:tabs>
        <w:ind w:left="5040" w:hanging="360"/>
      </w:pPr>
    </w:lvl>
    <w:lvl w:ilvl="7" w:tplc="8AF455C8" w:tentative="1">
      <w:start w:val="1"/>
      <w:numFmt w:val="lowerLetter"/>
      <w:lvlText w:val="%8."/>
      <w:lvlJc w:val="left"/>
      <w:pPr>
        <w:tabs>
          <w:tab w:val="num" w:pos="5760"/>
        </w:tabs>
        <w:ind w:left="5760" w:hanging="360"/>
      </w:pPr>
    </w:lvl>
    <w:lvl w:ilvl="8" w:tplc="643A7466" w:tentative="1">
      <w:start w:val="1"/>
      <w:numFmt w:val="lowerRoman"/>
      <w:lvlText w:val="%9."/>
      <w:lvlJc w:val="right"/>
      <w:pPr>
        <w:tabs>
          <w:tab w:val="num" w:pos="6480"/>
        </w:tabs>
        <w:ind w:left="6480" w:hanging="180"/>
      </w:pPr>
    </w:lvl>
  </w:abstractNum>
  <w:abstractNum w:abstractNumId="30" w15:restartNumberingAfterBreak="0">
    <w:nsid w:val="5CAE5107"/>
    <w:multiLevelType w:val="hybridMultilevel"/>
    <w:tmpl w:val="B43E4CA6"/>
    <w:lvl w:ilvl="0" w:tplc="A9ACCFDC">
      <w:numFmt w:val="bullet"/>
      <w:lvlText w:val="-"/>
      <w:lvlJc w:val="left"/>
      <w:pPr>
        <w:ind w:left="720" w:hanging="360"/>
      </w:pPr>
      <w:rPr>
        <w:rFonts w:ascii="Century" w:eastAsia="Times New Roman" w:hAnsi="Century" w:cs="Miriam" w:hint="default"/>
      </w:rPr>
    </w:lvl>
    <w:lvl w:ilvl="1" w:tplc="B27275A0" w:tentative="1">
      <w:start w:val="1"/>
      <w:numFmt w:val="bullet"/>
      <w:lvlText w:val="o"/>
      <w:lvlJc w:val="left"/>
      <w:pPr>
        <w:ind w:left="1440" w:hanging="360"/>
      </w:pPr>
      <w:rPr>
        <w:rFonts w:ascii="Courier New" w:hAnsi="Courier New" w:cs="Courier New" w:hint="default"/>
      </w:rPr>
    </w:lvl>
    <w:lvl w:ilvl="2" w:tplc="DA185314" w:tentative="1">
      <w:start w:val="1"/>
      <w:numFmt w:val="bullet"/>
      <w:lvlText w:val=""/>
      <w:lvlJc w:val="left"/>
      <w:pPr>
        <w:ind w:left="2160" w:hanging="360"/>
      </w:pPr>
      <w:rPr>
        <w:rFonts w:ascii="Wingdings" w:hAnsi="Wingdings" w:hint="default"/>
      </w:rPr>
    </w:lvl>
    <w:lvl w:ilvl="3" w:tplc="A5B21D54" w:tentative="1">
      <w:start w:val="1"/>
      <w:numFmt w:val="bullet"/>
      <w:lvlText w:val=""/>
      <w:lvlJc w:val="left"/>
      <w:pPr>
        <w:ind w:left="2880" w:hanging="360"/>
      </w:pPr>
      <w:rPr>
        <w:rFonts w:ascii="Symbol" w:hAnsi="Symbol" w:hint="default"/>
      </w:rPr>
    </w:lvl>
    <w:lvl w:ilvl="4" w:tplc="6A04B5D2" w:tentative="1">
      <w:start w:val="1"/>
      <w:numFmt w:val="bullet"/>
      <w:lvlText w:val="o"/>
      <w:lvlJc w:val="left"/>
      <w:pPr>
        <w:ind w:left="3600" w:hanging="360"/>
      </w:pPr>
      <w:rPr>
        <w:rFonts w:ascii="Courier New" w:hAnsi="Courier New" w:cs="Courier New" w:hint="default"/>
      </w:rPr>
    </w:lvl>
    <w:lvl w:ilvl="5" w:tplc="BEAC64D0" w:tentative="1">
      <w:start w:val="1"/>
      <w:numFmt w:val="bullet"/>
      <w:lvlText w:val=""/>
      <w:lvlJc w:val="left"/>
      <w:pPr>
        <w:ind w:left="4320" w:hanging="360"/>
      </w:pPr>
      <w:rPr>
        <w:rFonts w:ascii="Wingdings" w:hAnsi="Wingdings" w:hint="default"/>
      </w:rPr>
    </w:lvl>
    <w:lvl w:ilvl="6" w:tplc="02969630" w:tentative="1">
      <w:start w:val="1"/>
      <w:numFmt w:val="bullet"/>
      <w:lvlText w:val=""/>
      <w:lvlJc w:val="left"/>
      <w:pPr>
        <w:ind w:left="5040" w:hanging="360"/>
      </w:pPr>
      <w:rPr>
        <w:rFonts w:ascii="Symbol" w:hAnsi="Symbol" w:hint="default"/>
      </w:rPr>
    </w:lvl>
    <w:lvl w:ilvl="7" w:tplc="4412DA94" w:tentative="1">
      <w:start w:val="1"/>
      <w:numFmt w:val="bullet"/>
      <w:lvlText w:val="o"/>
      <w:lvlJc w:val="left"/>
      <w:pPr>
        <w:ind w:left="5760" w:hanging="360"/>
      </w:pPr>
      <w:rPr>
        <w:rFonts w:ascii="Courier New" w:hAnsi="Courier New" w:cs="Courier New" w:hint="default"/>
      </w:rPr>
    </w:lvl>
    <w:lvl w:ilvl="8" w:tplc="F3861D06" w:tentative="1">
      <w:start w:val="1"/>
      <w:numFmt w:val="bullet"/>
      <w:lvlText w:val=""/>
      <w:lvlJc w:val="left"/>
      <w:pPr>
        <w:ind w:left="6480" w:hanging="360"/>
      </w:pPr>
      <w:rPr>
        <w:rFonts w:ascii="Wingdings" w:hAnsi="Wingdings" w:hint="default"/>
      </w:rPr>
    </w:lvl>
  </w:abstractNum>
  <w:abstractNum w:abstractNumId="31" w15:restartNumberingAfterBreak="0">
    <w:nsid w:val="5F2252F5"/>
    <w:multiLevelType w:val="multilevel"/>
    <w:tmpl w:val="548C09D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D62A1B"/>
    <w:multiLevelType w:val="hybridMultilevel"/>
    <w:tmpl w:val="69B0DC1C"/>
    <w:lvl w:ilvl="0" w:tplc="73BC700E">
      <w:start w:val="3"/>
      <w:numFmt w:val="bullet"/>
      <w:lvlText w:val="-"/>
      <w:lvlJc w:val="left"/>
      <w:pPr>
        <w:ind w:left="720" w:hanging="360"/>
      </w:pPr>
      <w:rPr>
        <w:rFonts w:ascii="FrankRuehl" w:eastAsia="Times New Roman" w:hAnsi="FrankRuehl" w:cs="FrankRuehl" w:hint="default"/>
      </w:rPr>
    </w:lvl>
    <w:lvl w:ilvl="1" w:tplc="65803E9E" w:tentative="1">
      <w:start w:val="1"/>
      <w:numFmt w:val="bullet"/>
      <w:lvlText w:val="o"/>
      <w:lvlJc w:val="left"/>
      <w:pPr>
        <w:ind w:left="1440" w:hanging="360"/>
      </w:pPr>
      <w:rPr>
        <w:rFonts w:ascii="Courier New" w:hAnsi="Courier New" w:cs="Courier New" w:hint="default"/>
      </w:rPr>
    </w:lvl>
    <w:lvl w:ilvl="2" w:tplc="80EED280" w:tentative="1">
      <w:start w:val="1"/>
      <w:numFmt w:val="bullet"/>
      <w:lvlText w:val=""/>
      <w:lvlJc w:val="left"/>
      <w:pPr>
        <w:ind w:left="2160" w:hanging="360"/>
      </w:pPr>
      <w:rPr>
        <w:rFonts w:ascii="Wingdings" w:hAnsi="Wingdings" w:hint="default"/>
      </w:rPr>
    </w:lvl>
    <w:lvl w:ilvl="3" w:tplc="37E8074A" w:tentative="1">
      <w:start w:val="1"/>
      <w:numFmt w:val="bullet"/>
      <w:lvlText w:val=""/>
      <w:lvlJc w:val="left"/>
      <w:pPr>
        <w:ind w:left="2880" w:hanging="360"/>
      </w:pPr>
      <w:rPr>
        <w:rFonts w:ascii="Symbol" w:hAnsi="Symbol" w:hint="default"/>
      </w:rPr>
    </w:lvl>
    <w:lvl w:ilvl="4" w:tplc="056C81DA" w:tentative="1">
      <w:start w:val="1"/>
      <w:numFmt w:val="bullet"/>
      <w:lvlText w:val="o"/>
      <w:lvlJc w:val="left"/>
      <w:pPr>
        <w:ind w:left="3600" w:hanging="360"/>
      </w:pPr>
      <w:rPr>
        <w:rFonts w:ascii="Courier New" w:hAnsi="Courier New" w:cs="Courier New" w:hint="default"/>
      </w:rPr>
    </w:lvl>
    <w:lvl w:ilvl="5" w:tplc="0CF448EC" w:tentative="1">
      <w:start w:val="1"/>
      <w:numFmt w:val="bullet"/>
      <w:lvlText w:val=""/>
      <w:lvlJc w:val="left"/>
      <w:pPr>
        <w:ind w:left="4320" w:hanging="360"/>
      </w:pPr>
      <w:rPr>
        <w:rFonts w:ascii="Wingdings" w:hAnsi="Wingdings" w:hint="default"/>
      </w:rPr>
    </w:lvl>
    <w:lvl w:ilvl="6" w:tplc="F72049E0" w:tentative="1">
      <w:start w:val="1"/>
      <w:numFmt w:val="bullet"/>
      <w:lvlText w:val=""/>
      <w:lvlJc w:val="left"/>
      <w:pPr>
        <w:ind w:left="5040" w:hanging="360"/>
      </w:pPr>
      <w:rPr>
        <w:rFonts w:ascii="Symbol" w:hAnsi="Symbol" w:hint="default"/>
      </w:rPr>
    </w:lvl>
    <w:lvl w:ilvl="7" w:tplc="97FAB682" w:tentative="1">
      <w:start w:val="1"/>
      <w:numFmt w:val="bullet"/>
      <w:lvlText w:val="o"/>
      <w:lvlJc w:val="left"/>
      <w:pPr>
        <w:ind w:left="5760" w:hanging="360"/>
      </w:pPr>
      <w:rPr>
        <w:rFonts w:ascii="Courier New" w:hAnsi="Courier New" w:cs="Courier New" w:hint="default"/>
      </w:rPr>
    </w:lvl>
    <w:lvl w:ilvl="8" w:tplc="32C2A3C0" w:tentative="1">
      <w:start w:val="1"/>
      <w:numFmt w:val="bullet"/>
      <w:lvlText w:val=""/>
      <w:lvlJc w:val="left"/>
      <w:pPr>
        <w:ind w:left="6480" w:hanging="360"/>
      </w:pPr>
      <w:rPr>
        <w:rFonts w:ascii="Wingdings" w:hAnsi="Wingdings" w:hint="default"/>
      </w:rPr>
    </w:lvl>
  </w:abstractNum>
  <w:abstractNum w:abstractNumId="33" w15:restartNumberingAfterBreak="0">
    <w:nsid w:val="660B1061"/>
    <w:multiLevelType w:val="hybridMultilevel"/>
    <w:tmpl w:val="BCF0BCEA"/>
    <w:lvl w:ilvl="0" w:tplc="B1023C36">
      <w:start w:val="1"/>
      <w:numFmt w:val="hebrew1"/>
      <w:pStyle w:val="21"/>
      <w:lvlText w:val="%1."/>
      <w:lvlJc w:val="left"/>
      <w:pPr>
        <w:tabs>
          <w:tab w:val="num" w:pos="794"/>
        </w:tabs>
        <w:ind w:left="0" w:firstLine="0"/>
      </w:pPr>
    </w:lvl>
    <w:lvl w:ilvl="1" w:tplc="5A806DDA">
      <w:start w:val="1"/>
      <w:numFmt w:val="decimal"/>
      <w:lvlText w:val="%2."/>
      <w:lvlJc w:val="left"/>
      <w:pPr>
        <w:tabs>
          <w:tab w:val="num" w:pos="1440"/>
        </w:tabs>
        <w:ind w:left="1440" w:hanging="360"/>
      </w:pPr>
    </w:lvl>
    <w:lvl w:ilvl="2" w:tplc="CC86CE24">
      <w:start w:val="1"/>
      <w:numFmt w:val="decimal"/>
      <w:lvlText w:val="%3."/>
      <w:lvlJc w:val="left"/>
      <w:pPr>
        <w:tabs>
          <w:tab w:val="num" w:pos="2160"/>
        </w:tabs>
        <w:ind w:left="2160" w:hanging="360"/>
      </w:pPr>
    </w:lvl>
    <w:lvl w:ilvl="3" w:tplc="D5D29054">
      <w:start w:val="1"/>
      <w:numFmt w:val="decimal"/>
      <w:lvlText w:val="%4."/>
      <w:lvlJc w:val="left"/>
      <w:pPr>
        <w:ind w:left="2520" w:hanging="360"/>
      </w:pPr>
    </w:lvl>
    <w:lvl w:ilvl="4" w:tplc="818C358A">
      <w:start w:val="1"/>
      <w:numFmt w:val="decimal"/>
      <w:lvlText w:val="%5."/>
      <w:lvlJc w:val="left"/>
      <w:pPr>
        <w:tabs>
          <w:tab w:val="num" w:pos="3600"/>
        </w:tabs>
        <w:ind w:left="3600" w:hanging="360"/>
      </w:pPr>
    </w:lvl>
    <w:lvl w:ilvl="5" w:tplc="78C6C428">
      <w:start w:val="1"/>
      <w:numFmt w:val="decimal"/>
      <w:lvlText w:val="%6."/>
      <w:lvlJc w:val="left"/>
      <w:pPr>
        <w:tabs>
          <w:tab w:val="num" w:pos="4320"/>
        </w:tabs>
        <w:ind w:left="4320" w:hanging="360"/>
      </w:pPr>
    </w:lvl>
    <w:lvl w:ilvl="6" w:tplc="BF1E7BA2">
      <w:start w:val="1"/>
      <w:numFmt w:val="decimal"/>
      <w:lvlText w:val="%7."/>
      <w:lvlJc w:val="left"/>
      <w:pPr>
        <w:tabs>
          <w:tab w:val="num" w:pos="5040"/>
        </w:tabs>
        <w:ind w:left="5040" w:hanging="360"/>
      </w:pPr>
    </w:lvl>
    <w:lvl w:ilvl="7" w:tplc="5A3E5EFC">
      <w:start w:val="1"/>
      <w:numFmt w:val="decimal"/>
      <w:lvlText w:val="%8."/>
      <w:lvlJc w:val="left"/>
      <w:pPr>
        <w:tabs>
          <w:tab w:val="num" w:pos="5760"/>
        </w:tabs>
        <w:ind w:left="5760" w:hanging="360"/>
      </w:pPr>
    </w:lvl>
    <w:lvl w:ilvl="8" w:tplc="604A9330">
      <w:start w:val="1"/>
      <w:numFmt w:val="decimal"/>
      <w:lvlText w:val="%9."/>
      <w:lvlJc w:val="left"/>
      <w:pPr>
        <w:tabs>
          <w:tab w:val="num" w:pos="6480"/>
        </w:tabs>
        <w:ind w:left="6480" w:hanging="360"/>
      </w:pPr>
    </w:lvl>
  </w:abstractNum>
  <w:abstractNum w:abstractNumId="34" w15:restartNumberingAfterBreak="0">
    <w:nsid w:val="699F4831"/>
    <w:multiLevelType w:val="multilevel"/>
    <w:tmpl w:val="29120F9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991CF4"/>
    <w:multiLevelType w:val="hybridMultilevel"/>
    <w:tmpl w:val="27BA805A"/>
    <w:lvl w:ilvl="0" w:tplc="4A0E6D28">
      <w:start w:val="1"/>
      <w:numFmt w:val="decimal"/>
      <w:lvlText w:val="(%1)"/>
      <w:lvlJc w:val="left"/>
      <w:pPr>
        <w:ind w:left="1155" w:hanging="360"/>
      </w:pPr>
      <w:rPr>
        <w:rFonts w:ascii="Century" w:hAnsi="Century" w:cs="Miriam" w:hint="default"/>
        <w:b/>
        <w:bCs w:val="0"/>
        <w:i w:val="0"/>
        <w:iCs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1" w:tplc="39E6B424" w:tentative="1">
      <w:start w:val="1"/>
      <w:numFmt w:val="lowerLetter"/>
      <w:lvlText w:val="%2."/>
      <w:lvlJc w:val="left"/>
      <w:pPr>
        <w:ind w:left="1875" w:hanging="360"/>
      </w:pPr>
    </w:lvl>
    <w:lvl w:ilvl="2" w:tplc="8092DFB4" w:tentative="1">
      <w:start w:val="1"/>
      <w:numFmt w:val="lowerRoman"/>
      <w:lvlText w:val="%3."/>
      <w:lvlJc w:val="right"/>
      <w:pPr>
        <w:ind w:left="2595" w:hanging="180"/>
      </w:pPr>
    </w:lvl>
    <w:lvl w:ilvl="3" w:tplc="A918827A" w:tentative="1">
      <w:start w:val="1"/>
      <w:numFmt w:val="decimal"/>
      <w:lvlText w:val="%4."/>
      <w:lvlJc w:val="left"/>
      <w:pPr>
        <w:ind w:left="3315" w:hanging="360"/>
      </w:pPr>
    </w:lvl>
    <w:lvl w:ilvl="4" w:tplc="F2A09F24" w:tentative="1">
      <w:start w:val="1"/>
      <w:numFmt w:val="lowerLetter"/>
      <w:lvlText w:val="%5."/>
      <w:lvlJc w:val="left"/>
      <w:pPr>
        <w:ind w:left="4035" w:hanging="360"/>
      </w:pPr>
    </w:lvl>
    <w:lvl w:ilvl="5" w:tplc="C46ABC38" w:tentative="1">
      <w:start w:val="1"/>
      <w:numFmt w:val="lowerRoman"/>
      <w:lvlText w:val="%6."/>
      <w:lvlJc w:val="right"/>
      <w:pPr>
        <w:ind w:left="4755" w:hanging="180"/>
      </w:pPr>
    </w:lvl>
    <w:lvl w:ilvl="6" w:tplc="6AF6CA3A" w:tentative="1">
      <w:start w:val="1"/>
      <w:numFmt w:val="decimal"/>
      <w:lvlText w:val="%7."/>
      <w:lvlJc w:val="left"/>
      <w:pPr>
        <w:ind w:left="5475" w:hanging="360"/>
      </w:pPr>
    </w:lvl>
    <w:lvl w:ilvl="7" w:tplc="89E0D070" w:tentative="1">
      <w:start w:val="1"/>
      <w:numFmt w:val="lowerLetter"/>
      <w:lvlText w:val="%8."/>
      <w:lvlJc w:val="left"/>
      <w:pPr>
        <w:ind w:left="6195" w:hanging="360"/>
      </w:pPr>
    </w:lvl>
    <w:lvl w:ilvl="8" w:tplc="D31EE396" w:tentative="1">
      <w:start w:val="1"/>
      <w:numFmt w:val="lowerRoman"/>
      <w:lvlText w:val="%9."/>
      <w:lvlJc w:val="right"/>
      <w:pPr>
        <w:ind w:left="6915" w:hanging="180"/>
      </w:pPr>
    </w:lvl>
  </w:abstractNum>
  <w:abstractNum w:abstractNumId="36" w15:restartNumberingAfterBreak="0">
    <w:nsid w:val="6FCE702D"/>
    <w:multiLevelType w:val="multilevel"/>
    <w:tmpl w:val="96BAE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C800D69"/>
    <w:multiLevelType w:val="multilevel"/>
    <w:tmpl w:val="29120F92"/>
    <w:lvl w:ilvl="0">
      <w:start w:val="1"/>
      <w:numFmt w:val="decimal"/>
      <w:lvlText w:val="%1."/>
      <w:lvlJc w:val="left"/>
      <w:pPr>
        <w:tabs>
          <w:tab w:val="num" w:pos="7427"/>
        </w:tabs>
        <w:ind w:left="6520" w:firstLine="0"/>
      </w:pPr>
      <w:rPr>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9"/>
  </w:num>
  <w:num w:numId="13">
    <w:abstractNumId w:val="13"/>
  </w:num>
  <w:num w:numId="14">
    <w:abstractNumId w:val="25"/>
  </w:num>
  <w:num w:numId="15">
    <w:abstractNumId w:val="26"/>
  </w:num>
  <w:num w:numId="16">
    <w:abstractNumId w:val="24"/>
  </w:num>
  <w:num w:numId="17">
    <w:abstractNumId w:val="20"/>
  </w:num>
  <w:num w:numId="18">
    <w:abstractNumId w:val="30"/>
  </w:num>
  <w:num w:numId="19">
    <w:abstractNumId w:val="17"/>
  </w:num>
  <w:num w:numId="20">
    <w:abstractNumId w:val="23"/>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5"/>
  </w:num>
  <w:num w:numId="25">
    <w:abstractNumId w:val="32"/>
  </w:num>
  <w:num w:numId="26">
    <w:abstractNumId w:val="27"/>
  </w:num>
  <w:num w:numId="27">
    <w:abstractNumId w:val="31"/>
  </w:num>
  <w:num w:numId="28">
    <w:abstractNumId w:val="12"/>
  </w:num>
  <w:num w:numId="29">
    <w:abstractNumId w:val="15"/>
  </w:num>
  <w:num w:numId="30">
    <w:abstractNumId w:val="19"/>
  </w:num>
  <w:num w:numId="31">
    <w:abstractNumId w:val="2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7"/>
  </w:num>
  <w:num w:numId="35">
    <w:abstractNumId w:val="18"/>
  </w:num>
  <w:num w:numId="36">
    <w:abstractNumId w:val="2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1"/>
  </w:num>
  <w:num w:numId="40">
    <w:abstractNumId w:val="14"/>
  </w:num>
  <w:num w:numId="4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7"/>
    <w:rsid w:val="00005489"/>
    <w:rsid w:val="00006D2E"/>
    <w:rsid w:val="000127BA"/>
    <w:rsid w:val="00016EF1"/>
    <w:rsid w:val="0001744D"/>
    <w:rsid w:val="00023503"/>
    <w:rsid w:val="000237C6"/>
    <w:rsid w:val="00025337"/>
    <w:rsid w:val="00027C94"/>
    <w:rsid w:val="00032036"/>
    <w:rsid w:val="000347BE"/>
    <w:rsid w:val="00036227"/>
    <w:rsid w:val="000401F2"/>
    <w:rsid w:val="00040F25"/>
    <w:rsid w:val="00041D0F"/>
    <w:rsid w:val="00044953"/>
    <w:rsid w:val="00044F24"/>
    <w:rsid w:val="00045B4D"/>
    <w:rsid w:val="000478A6"/>
    <w:rsid w:val="00050426"/>
    <w:rsid w:val="0005483D"/>
    <w:rsid w:val="00064728"/>
    <w:rsid w:val="00064A65"/>
    <w:rsid w:val="00066564"/>
    <w:rsid w:val="000725F5"/>
    <w:rsid w:val="00072AD2"/>
    <w:rsid w:val="000732F9"/>
    <w:rsid w:val="000737ED"/>
    <w:rsid w:val="00074EA3"/>
    <w:rsid w:val="00076020"/>
    <w:rsid w:val="00083D1E"/>
    <w:rsid w:val="0008576A"/>
    <w:rsid w:val="000865B2"/>
    <w:rsid w:val="00087240"/>
    <w:rsid w:val="00087889"/>
    <w:rsid w:val="000909ED"/>
    <w:rsid w:val="00093283"/>
    <w:rsid w:val="000A20C9"/>
    <w:rsid w:val="000A3224"/>
    <w:rsid w:val="000A4E45"/>
    <w:rsid w:val="000B02CB"/>
    <w:rsid w:val="000B1478"/>
    <w:rsid w:val="000B1DE6"/>
    <w:rsid w:val="000B297C"/>
    <w:rsid w:val="000B46EB"/>
    <w:rsid w:val="000B7BAA"/>
    <w:rsid w:val="000C1B34"/>
    <w:rsid w:val="000C2667"/>
    <w:rsid w:val="000C3232"/>
    <w:rsid w:val="000C4690"/>
    <w:rsid w:val="000C5899"/>
    <w:rsid w:val="000C7362"/>
    <w:rsid w:val="000D0CC6"/>
    <w:rsid w:val="000D25C4"/>
    <w:rsid w:val="000D671D"/>
    <w:rsid w:val="000E4902"/>
    <w:rsid w:val="000E5717"/>
    <w:rsid w:val="000E5D20"/>
    <w:rsid w:val="000F0EF1"/>
    <w:rsid w:val="000F1D57"/>
    <w:rsid w:val="00101D33"/>
    <w:rsid w:val="00106101"/>
    <w:rsid w:val="001103CD"/>
    <w:rsid w:val="00117FA9"/>
    <w:rsid w:val="00127EEC"/>
    <w:rsid w:val="00127FFC"/>
    <w:rsid w:val="00130AFE"/>
    <w:rsid w:val="00134940"/>
    <w:rsid w:val="00134A67"/>
    <w:rsid w:val="001355D7"/>
    <w:rsid w:val="00137A24"/>
    <w:rsid w:val="00140B84"/>
    <w:rsid w:val="0014151E"/>
    <w:rsid w:val="001430EE"/>
    <w:rsid w:val="00144D9D"/>
    <w:rsid w:val="00145D30"/>
    <w:rsid w:val="00146D8C"/>
    <w:rsid w:val="001473AE"/>
    <w:rsid w:val="001506E7"/>
    <w:rsid w:val="001514F9"/>
    <w:rsid w:val="00154325"/>
    <w:rsid w:val="00160A40"/>
    <w:rsid w:val="00163449"/>
    <w:rsid w:val="00165B18"/>
    <w:rsid w:val="001701EB"/>
    <w:rsid w:val="00171621"/>
    <w:rsid w:val="001737EC"/>
    <w:rsid w:val="00176AF4"/>
    <w:rsid w:val="00190218"/>
    <w:rsid w:val="00191999"/>
    <w:rsid w:val="00192C23"/>
    <w:rsid w:val="0019799F"/>
    <w:rsid w:val="001A0164"/>
    <w:rsid w:val="001A6BC4"/>
    <w:rsid w:val="001B1257"/>
    <w:rsid w:val="001B2ACD"/>
    <w:rsid w:val="001B7075"/>
    <w:rsid w:val="001D022A"/>
    <w:rsid w:val="001D17D7"/>
    <w:rsid w:val="001D329D"/>
    <w:rsid w:val="001D7C7D"/>
    <w:rsid w:val="001E14C1"/>
    <w:rsid w:val="001F11C6"/>
    <w:rsid w:val="001F2331"/>
    <w:rsid w:val="001F511D"/>
    <w:rsid w:val="001F64BB"/>
    <w:rsid w:val="00200636"/>
    <w:rsid w:val="00200D6B"/>
    <w:rsid w:val="00201913"/>
    <w:rsid w:val="00202881"/>
    <w:rsid w:val="00215A09"/>
    <w:rsid w:val="00225903"/>
    <w:rsid w:val="002322FA"/>
    <w:rsid w:val="00234BE7"/>
    <w:rsid w:val="00235782"/>
    <w:rsid w:val="00240B3C"/>
    <w:rsid w:val="00242418"/>
    <w:rsid w:val="0024485D"/>
    <w:rsid w:val="002518F9"/>
    <w:rsid w:val="00253C24"/>
    <w:rsid w:val="00254E24"/>
    <w:rsid w:val="0026244A"/>
    <w:rsid w:val="00265F6E"/>
    <w:rsid w:val="00267B58"/>
    <w:rsid w:val="00267F91"/>
    <w:rsid w:val="0027006A"/>
    <w:rsid w:val="002739C9"/>
    <w:rsid w:val="0027587B"/>
    <w:rsid w:val="00275A3D"/>
    <w:rsid w:val="00282C1A"/>
    <w:rsid w:val="00286853"/>
    <w:rsid w:val="002876BF"/>
    <w:rsid w:val="00291036"/>
    <w:rsid w:val="00294F16"/>
    <w:rsid w:val="0029639A"/>
    <w:rsid w:val="00296EAB"/>
    <w:rsid w:val="002A0AA3"/>
    <w:rsid w:val="002A2463"/>
    <w:rsid w:val="002A3467"/>
    <w:rsid w:val="002A4A7A"/>
    <w:rsid w:val="002A4BF3"/>
    <w:rsid w:val="002A4D44"/>
    <w:rsid w:val="002B771A"/>
    <w:rsid w:val="002C002D"/>
    <w:rsid w:val="002C030E"/>
    <w:rsid w:val="002C3B2E"/>
    <w:rsid w:val="002C5BE4"/>
    <w:rsid w:val="002E0054"/>
    <w:rsid w:val="002E42BA"/>
    <w:rsid w:val="002E618F"/>
    <w:rsid w:val="002E7F17"/>
    <w:rsid w:val="002F5A44"/>
    <w:rsid w:val="002F5BD6"/>
    <w:rsid w:val="002F7BB6"/>
    <w:rsid w:val="003024CC"/>
    <w:rsid w:val="00311D80"/>
    <w:rsid w:val="00315D40"/>
    <w:rsid w:val="00316DFB"/>
    <w:rsid w:val="003200E0"/>
    <w:rsid w:val="003246F1"/>
    <w:rsid w:val="00331F76"/>
    <w:rsid w:val="00333662"/>
    <w:rsid w:val="0033533E"/>
    <w:rsid w:val="003361B7"/>
    <w:rsid w:val="003448B2"/>
    <w:rsid w:val="0034740E"/>
    <w:rsid w:val="00351A95"/>
    <w:rsid w:val="00352928"/>
    <w:rsid w:val="00355AD6"/>
    <w:rsid w:val="0035685B"/>
    <w:rsid w:val="00361DB2"/>
    <w:rsid w:val="00362035"/>
    <w:rsid w:val="00362785"/>
    <w:rsid w:val="00366A8D"/>
    <w:rsid w:val="00370A2A"/>
    <w:rsid w:val="00373DA8"/>
    <w:rsid w:val="0037622E"/>
    <w:rsid w:val="00377102"/>
    <w:rsid w:val="00380381"/>
    <w:rsid w:val="0038542A"/>
    <w:rsid w:val="00391CFE"/>
    <w:rsid w:val="00394195"/>
    <w:rsid w:val="0039611A"/>
    <w:rsid w:val="0039709B"/>
    <w:rsid w:val="003A19F1"/>
    <w:rsid w:val="003B4DAC"/>
    <w:rsid w:val="003B524F"/>
    <w:rsid w:val="003C0EE5"/>
    <w:rsid w:val="003C5755"/>
    <w:rsid w:val="003C7088"/>
    <w:rsid w:val="003D563D"/>
    <w:rsid w:val="003D72DA"/>
    <w:rsid w:val="003E061E"/>
    <w:rsid w:val="003E5EC2"/>
    <w:rsid w:val="003F0293"/>
    <w:rsid w:val="003F1F97"/>
    <w:rsid w:val="003F209A"/>
    <w:rsid w:val="003F5763"/>
    <w:rsid w:val="003F662F"/>
    <w:rsid w:val="003F6805"/>
    <w:rsid w:val="00402277"/>
    <w:rsid w:val="00403A1E"/>
    <w:rsid w:val="004052F1"/>
    <w:rsid w:val="00406556"/>
    <w:rsid w:val="0041048F"/>
    <w:rsid w:val="00411452"/>
    <w:rsid w:val="00415B99"/>
    <w:rsid w:val="004169D4"/>
    <w:rsid w:val="004267A9"/>
    <w:rsid w:val="0042781D"/>
    <w:rsid w:val="0043011E"/>
    <w:rsid w:val="0043680C"/>
    <w:rsid w:val="00437D59"/>
    <w:rsid w:val="004440B1"/>
    <w:rsid w:val="00450885"/>
    <w:rsid w:val="00450D9D"/>
    <w:rsid w:val="00457F51"/>
    <w:rsid w:val="00457F85"/>
    <w:rsid w:val="004610A4"/>
    <w:rsid w:val="004617CB"/>
    <w:rsid w:val="00462A9D"/>
    <w:rsid w:val="0046653E"/>
    <w:rsid w:val="00466831"/>
    <w:rsid w:val="004679CF"/>
    <w:rsid w:val="00471C53"/>
    <w:rsid w:val="0047378F"/>
    <w:rsid w:val="00473E6F"/>
    <w:rsid w:val="004764E3"/>
    <w:rsid w:val="004777D7"/>
    <w:rsid w:val="00481E02"/>
    <w:rsid w:val="00493480"/>
    <w:rsid w:val="0049481F"/>
    <w:rsid w:val="004950EE"/>
    <w:rsid w:val="004B155B"/>
    <w:rsid w:val="004B161B"/>
    <w:rsid w:val="004B29FF"/>
    <w:rsid w:val="004C24FA"/>
    <w:rsid w:val="004C5442"/>
    <w:rsid w:val="004C6418"/>
    <w:rsid w:val="004C6E14"/>
    <w:rsid w:val="004C7868"/>
    <w:rsid w:val="004E1C9E"/>
    <w:rsid w:val="004E2F3A"/>
    <w:rsid w:val="004E3EB8"/>
    <w:rsid w:val="004F3210"/>
    <w:rsid w:val="004F6096"/>
    <w:rsid w:val="004F6CD9"/>
    <w:rsid w:val="00503A3E"/>
    <w:rsid w:val="00503EC4"/>
    <w:rsid w:val="005043CE"/>
    <w:rsid w:val="005131B8"/>
    <w:rsid w:val="00517D2B"/>
    <w:rsid w:val="00521966"/>
    <w:rsid w:val="005226A5"/>
    <w:rsid w:val="0052512C"/>
    <w:rsid w:val="00527F02"/>
    <w:rsid w:val="0053318D"/>
    <w:rsid w:val="00535460"/>
    <w:rsid w:val="00540121"/>
    <w:rsid w:val="005410B6"/>
    <w:rsid w:val="00542C5E"/>
    <w:rsid w:val="00544D71"/>
    <w:rsid w:val="00560523"/>
    <w:rsid w:val="00560C0B"/>
    <w:rsid w:val="00561060"/>
    <w:rsid w:val="00562FFC"/>
    <w:rsid w:val="005644EC"/>
    <w:rsid w:val="0056736C"/>
    <w:rsid w:val="0057102E"/>
    <w:rsid w:val="00571C23"/>
    <w:rsid w:val="00572310"/>
    <w:rsid w:val="00574C16"/>
    <w:rsid w:val="00576413"/>
    <w:rsid w:val="00577F84"/>
    <w:rsid w:val="005803E2"/>
    <w:rsid w:val="00581EC6"/>
    <w:rsid w:val="0058440A"/>
    <w:rsid w:val="005848C2"/>
    <w:rsid w:val="0059017D"/>
    <w:rsid w:val="00591983"/>
    <w:rsid w:val="00592E0A"/>
    <w:rsid w:val="00595905"/>
    <w:rsid w:val="005A2D14"/>
    <w:rsid w:val="005A3CFC"/>
    <w:rsid w:val="005A5F62"/>
    <w:rsid w:val="005B0F16"/>
    <w:rsid w:val="005B1E2D"/>
    <w:rsid w:val="005B4491"/>
    <w:rsid w:val="005C486A"/>
    <w:rsid w:val="005D087A"/>
    <w:rsid w:val="005D1A84"/>
    <w:rsid w:val="005D6383"/>
    <w:rsid w:val="005D6AA1"/>
    <w:rsid w:val="005D7900"/>
    <w:rsid w:val="005D7DF8"/>
    <w:rsid w:val="005E1CAF"/>
    <w:rsid w:val="005E3349"/>
    <w:rsid w:val="005E36D7"/>
    <w:rsid w:val="005E4B01"/>
    <w:rsid w:val="005F1F22"/>
    <w:rsid w:val="005F3783"/>
    <w:rsid w:val="005F475B"/>
    <w:rsid w:val="005F4A3E"/>
    <w:rsid w:val="00600167"/>
    <w:rsid w:val="006030C8"/>
    <w:rsid w:val="00603D41"/>
    <w:rsid w:val="006066CF"/>
    <w:rsid w:val="006125FA"/>
    <w:rsid w:val="00613BA8"/>
    <w:rsid w:val="00615A18"/>
    <w:rsid w:val="0062233B"/>
    <w:rsid w:val="00624355"/>
    <w:rsid w:val="006248DB"/>
    <w:rsid w:val="00624A42"/>
    <w:rsid w:val="00625F97"/>
    <w:rsid w:val="00626852"/>
    <w:rsid w:val="0062781A"/>
    <w:rsid w:val="00633E3B"/>
    <w:rsid w:val="00634AE4"/>
    <w:rsid w:val="00635AF7"/>
    <w:rsid w:val="00641E76"/>
    <w:rsid w:val="00643EF4"/>
    <w:rsid w:val="0064651F"/>
    <w:rsid w:val="0064728D"/>
    <w:rsid w:val="0065218B"/>
    <w:rsid w:val="00653C86"/>
    <w:rsid w:val="0065522F"/>
    <w:rsid w:val="00657E97"/>
    <w:rsid w:val="00673500"/>
    <w:rsid w:val="0067625E"/>
    <w:rsid w:val="00677C2C"/>
    <w:rsid w:val="00680D3F"/>
    <w:rsid w:val="006818B9"/>
    <w:rsid w:val="00681A1B"/>
    <w:rsid w:val="00681E56"/>
    <w:rsid w:val="006838DE"/>
    <w:rsid w:val="00683C85"/>
    <w:rsid w:val="00690EE7"/>
    <w:rsid w:val="00692B90"/>
    <w:rsid w:val="006A01A2"/>
    <w:rsid w:val="006A057D"/>
    <w:rsid w:val="006A0E77"/>
    <w:rsid w:val="006A200C"/>
    <w:rsid w:val="006A30F7"/>
    <w:rsid w:val="006A3170"/>
    <w:rsid w:val="006A75B8"/>
    <w:rsid w:val="006B16AE"/>
    <w:rsid w:val="006B42EC"/>
    <w:rsid w:val="006B6803"/>
    <w:rsid w:val="006C098D"/>
    <w:rsid w:val="006C2272"/>
    <w:rsid w:val="006C26F6"/>
    <w:rsid w:val="006C42AD"/>
    <w:rsid w:val="006C787D"/>
    <w:rsid w:val="006D0541"/>
    <w:rsid w:val="006D5959"/>
    <w:rsid w:val="006D595C"/>
    <w:rsid w:val="006E2510"/>
    <w:rsid w:val="006E37AA"/>
    <w:rsid w:val="006E3BE4"/>
    <w:rsid w:val="006E74BD"/>
    <w:rsid w:val="006F08B6"/>
    <w:rsid w:val="006F2BD5"/>
    <w:rsid w:val="006F2D3C"/>
    <w:rsid w:val="006F3822"/>
    <w:rsid w:val="006F7F9E"/>
    <w:rsid w:val="0070705E"/>
    <w:rsid w:val="0070789B"/>
    <w:rsid w:val="00713871"/>
    <w:rsid w:val="00713CED"/>
    <w:rsid w:val="00716C1D"/>
    <w:rsid w:val="00716E8C"/>
    <w:rsid w:val="00717DC3"/>
    <w:rsid w:val="007241A0"/>
    <w:rsid w:val="007243B2"/>
    <w:rsid w:val="00724BBD"/>
    <w:rsid w:val="00725345"/>
    <w:rsid w:val="0073300A"/>
    <w:rsid w:val="00735F17"/>
    <w:rsid w:val="00741CC0"/>
    <w:rsid w:val="00745D86"/>
    <w:rsid w:val="0075366B"/>
    <w:rsid w:val="00760CE9"/>
    <w:rsid w:val="00760FB5"/>
    <w:rsid w:val="0076643B"/>
    <w:rsid w:val="0077437D"/>
    <w:rsid w:val="00776A46"/>
    <w:rsid w:val="00780A8E"/>
    <w:rsid w:val="007813E0"/>
    <w:rsid w:val="00782BCB"/>
    <w:rsid w:val="0078340A"/>
    <w:rsid w:val="00783A6E"/>
    <w:rsid w:val="007844C1"/>
    <w:rsid w:val="00785D3F"/>
    <w:rsid w:val="007A0A8B"/>
    <w:rsid w:val="007A2110"/>
    <w:rsid w:val="007A38F1"/>
    <w:rsid w:val="007A5027"/>
    <w:rsid w:val="007A6B52"/>
    <w:rsid w:val="007A7C79"/>
    <w:rsid w:val="007B2A21"/>
    <w:rsid w:val="007B512F"/>
    <w:rsid w:val="007B6409"/>
    <w:rsid w:val="007C02C3"/>
    <w:rsid w:val="007C37EB"/>
    <w:rsid w:val="007C574C"/>
    <w:rsid w:val="007D3D30"/>
    <w:rsid w:val="007D5CDA"/>
    <w:rsid w:val="007E533B"/>
    <w:rsid w:val="007F05FD"/>
    <w:rsid w:val="007F0652"/>
    <w:rsid w:val="007F094B"/>
    <w:rsid w:val="007F1F92"/>
    <w:rsid w:val="007F3D63"/>
    <w:rsid w:val="007F4621"/>
    <w:rsid w:val="007F7512"/>
    <w:rsid w:val="008019E6"/>
    <w:rsid w:val="00802060"/>
    <w:rsid w:val="008045FD"/>
    <w:rsid w:val="008061CE"/>
    <w:rsid w:val="00807A84"/>
    <w:rsid w:val="00810894"/>
    <w:rsid w:val="0081114E"/>
    <w:rsid w:val="0081379F"/>
    <w:rsid w:val="008143AB"/>
    <w:rsid w:val="00814E46"/>
    <w:rsid w:val="0081723D"/>
    <w:rsid w:val="008212A2"/>
    <w:rsid w:val="00821EAA"/>
    <w:rsid w:val="008241BF"/>
    <w:rsid w:val="008315AA"/>
    <w:rsid w:val="0083345F"/>
    <w:rsid w:val="00833F5F"/>
    <w:rsid w:val="00836667"/>
    <w:rsid w:val="00836F6E"/>
    <w:rsid w:val="00840017"/>
    <w:rsid w:val="008416A6"/>
    <w:rsid w:val="00842ECD"/>
    <w:rsid w:val="0084563D"/>
    <w:rsid w:val="00851286"/>
    <w:rsid w:val="00852BED"/>
    <w:rsid w:val="008535DE"/>
    <w:rsid w:val="00856238"/>
    <w:rsid w:val="00857BCA"/>
    <w:rsid w:val="0086028D"/>
    <w:rsid w:val="00860B08"/>
    <w:rsid w:val="00861BAF"/>
    <w:rsid w:val="00862A5E"/>
    <w:rsid w:val="00866407"/>
    <w:rsid w:val="00867FD2"/>
    <w:rsid w:val="008708A1"/>
    <w:rsid w:val="00873391"/>
    <w:rsid w:val="00874140"/>
    <w:rsid w:val="008775F9"/>
    <w:rsid w:val="0088039A"/>
    <w:rsid w:val="00881DB4"/>
    <w:rsid w:val="00884517"/>
    <w:rsid w:val="00886D7A"/>
    <w:rsid w:val="008948D8"/>
    <w:rsid w:val="00896191"/>
    <w:rsid w:val="008A3C46"/>
    <w:rsid w:val="008A3C7B"/>
    <w:rsid w:val="008A6DC7"/>
    <w:rsid w:val="008B2962"/>
    <w:rsid w:val="008B4249"/>
    <w:rsid w:val="008B601F"/>
    <w:rsid w:val="008B71F9"/>
    <w:rsid w:val="008C1ECB"/>
    <w:rsid w:val="008C299B"/>
    <w:rsid w:val="008C2F11"/>
    <w:rsid w:val="008C5AC6"/>
    <w:rsid w:val="008C78F8"/>
    <w:rsid w:val="008D0AD8"/>
    <w:rsid w:val="008D1008"/>
    <w:rsid w:val="008D78B9"/>
    <w:rsid w:val="008E0565"/>
    <w:rsid w:val="008E3F85"/>
    <w:rsid w:val="008E52C2"/>
    <w:rsid w:val="008E699B"/>
    <w:rsid w:val="008F2A9E"/>
    <w:rsid w:val="008F5272"/>
    <w:rsid w:val="009051E8"/>
    <w:rsid w:val="0090567C"/>
    <w:rsid w:val="00913017"/>
    <w:rsid w:val="00914156"/>
    <w:rsid w:val="00915038"/>
    <w:rsid w:val="009155C3"/>
    <w:rsid w:val="00916FF8"/>
    <w:rsid w:val="00920289"/>
    <w:rsid w:val="00920E46"/>
    <w:rsid w:val="00922093"/>
    <w:rsid w:val="00930C85"/>
    <w:rsid w:val="009330D6"/>
    <w:rsid w:val="00933BD5"/>
    <w:rsid w:val="00947760"/>
    <w:rsid w:val="00954372"/>
    <w:rsid w:val="00957E99"/>
    <w:rsid w:val="009614E8"/>
    <w:rsid w:val="00963E31"/>
    <w:rsid w:val="00966E7D"/>
    <w:rsid w:val="00976B67"/>
    <w:rsid w:val="009770BB"/>
    <w:rsid w:val="00982309"/>
    <w:rsid w:val="00984304"/>
    <w:rsid w:val="00984C24"/>
    <w:rsid w:val="00997A38"/>
    <w:rsid w:val="009A0BCF"/>
    <w:rsid w:val="009A43E1"/>
    <w:rsid w:val="009B1235"/>
    <w:rsid w:val="009B38DA"/>
    <w:rsid w:val="009B3A25"/>
    <w:rsid w:val="009B5987"/>
    <w:rsid w:val="009B62A2"/>
    <w:rsid w:val="009B7D85"/>
    <w:rsid w:val="009C64FF"/>
    <w:rsid w:val="009C695C"/>
    <w:rsid w:val="009D2F97"/>
    <w:rsid w:val="009D3E1F"/>
    <w:rsid w:val="009D488F"/>
    <w:rsid w:val="009D5487"/>
    <w:rsid w:val="009D5B10"/>
    <w:rsid w:val="009D7AF5"/>
    <w:rsid w:val="009E5509"/>
    <w:rsid w:val="009F2F53"/>
    <w:rsid w:val="009F4187"/>
    <w:rsid w:val="009F573C"/>
    <w:rsid w:val="009F6780"/>
    <w:rsid w:val="009F7836"/>
    <w:rsid w:val="00A00AF3"/>
    <w:rsid w:val="00A01E16"/>
    <w:rsid w:val="00A03F9A"/>
    <w:rsid w:val="00A0457C"/>
    <w:rsid w:val="00A0560E"/>
    <w:rsid w:val="00A06083"/>
    <w:rsid w:val="00A12AF9"/>
    <w:rsid w:val="00A12E0F"/>
    <w:rsid w:val="00A13685"/>
    <w:rsid w:val="00A1578E"/>
    <w:rsid w:val="00A16737"/>
    <w:rsid w:val="00A224EF"/>
    <w:rsid w:val="00A23267"/>
    <w:rsid w:val="00A26221"/>
    <w:rsid w:val="00A26BD4"/>
    <w:rsid w:val="00A41463"/>
    <w:rsid w:val="00A424AA"/>
    <w:rsid w:val="00A517F2"/>
    <w:rsid w:val="00A51FAE"/>
    <w:rsid w:val="00A6050B"/>
    <w:rsid w:val="00A606DE"/>
    <w:rsid w:val="00A62FDE"/>
    <w:rsid w:val="00A701D7"/>
    <w:rsid w:val="00A718BD"/>
    <w:rsid w:val="00A72CB4"/>
    <w:rsid w:val="00A73D86"/>
    <w:rsid w:val="00A73EA4"/>
    <w:rsid w:val="00A76300"/>
    <w:rsid w:val="00A7632E"/>
    <w:rsid w:val="00A80845"/>
    <w:rsid w:val="00A824CE"/>
    <w:rsid w:val="00A86170"/>
    <w:rsid w:val="00A9189E"/>
    <w:rsid w:val="00A91C97"/>
    <w:rsid w:val="00A9420C"/>
    <w:rsid w:val="00A963DA"/>
    <w:rsid w:val="00AA0B98"/>
    <w:rsid w:val="00AA0D7E"/>
    <w:rsid w:val="00AA21ED"/>
    <w:rsid w:val="00AA66AA"/>
    <w:rsid w:val="00AA7F9F"/>
    <w:rsid w:val="00AB0215"/>
    <w:rsid w:val="00AB1AF2"/>
    <w:rsid w:val="00AB2904"/>
    <w:rsid w:val="00AB69F7"/>
    <w:rsid w:val="00AB6B62"/>
    <w:rsid w:val="00AB74B9"/>
    <w:rsid w:val="00AC14B3"/>
    <w:rsid w:val="00AC528B"/>
    <w:rsid w:val="00AC7CAD"/>
    <w:rsid w:val="00AC7F62"/>
    <w:rsid w:val="00AD097B"/>
    <w:rsid w:val="00AD4EFD"/>
    <w:rsid w:val="00AD550A"/>
    <w:rsid w:val="00AD64B9"/>
    <w:rsid w:val="00AE022B"/>
    <w:rsid w:val="00AE36A5"/>
    <w:rsid w:val="00AE3CC7"/>
    <w:rsid w:val="00AE4C8D"/>
    <w:rsid w:val="00AE50B0"/>
    <w:rsid w:val="00AE551D"/>
    <w:rsid w:val="00AE593F"/>
    <w:rsid w:val="00AF4443"/>
    <w:rsid w:val="00AF70A8"/>
    <w:rsid w:val="00B009CC"/>
    <w:rsid w:val="00B035F1"/>
    <w:rsid w:val="00B0782A"/>
    <w:rsid w:val="00B13EF9"/>
    <w:rsid w:val="00B16A2D"/>
    <w:rsid w:val="00B20AB4"/>
    <w:rsid w:val="00B21A9E"/>
    <w:rsid w:val="00B23098"/>
    <w:rsid w:val="00B341D7"/>
    <w:rsid w:val="00B34C2B"/>
    <w:rsid w:val="00B35E43"/>
    <w:rsid w:val="00B379F3"/>
    <w:rsid w:val="00B4122B"/>
    <w:rsid w:val="00B41D02"/>
    <w:rsid w:val="00B42578"/>
    <w:rsid w:val="00B438EB"/>
    <w:rsid w:val="00B47EBE"/>
    <w:rsid w:val="00B51F37"/>
    <w:rsid w:val="00B56CE7"/>
    <w:rsid w:val="00B62AC2"/>
    <w:rsid w:val="00B62B8C"/>
    <w:rsid w:val="00B63343"/>
    <w:rsid w:val="00B6561E"/>
    <w:rsid w:val="00B67937"/>
    <w:rsid w:val="00B7010B"/>
    <w:rsid w:val="00B75449"/>
    <w:rsid w:val="00B77A4B"/>
    <w:rsid w:val="00B80A25"/>
    <w:rsid w:val="00B823EF"/>
    <w:rsid w:val="00B857C4"/>
    <w:rsid w:val="00B87F5A"/>
    <w:rsid w:val="00B87FF7"/>
    <w:rsid w:val="00B90EC1"/>
    <w:rsid w:val="00B96EA4"/>
    <w:rsid w:val="00BA0B08"/>
    <w:rsid w:val="00BA1110"/>
    <w:rsid w:val="00BA3D00"/>
    <w:rsid w:val="00BB033B"/>
    <w:rsid w:val="00BB06C3"/>
    <w:rsid w:val="00BB0E2F"/>
    <w:rsid w:val="00BB6465"/>
    <w:rsid w:val="00BC0E82"/>
    <w:rsid w:val="00BC4B69"/>
    <w:rsid w:val="00BD40E2"/>
    <w:rsid w:val="00BD40F9"/>
    <w:rsid w:val="00BE0A69"/>
    <w:rsid w:val="00BE3EAD"/>
    <w:rsid w:val="00BF19CA"/>
    <w:rsid w:val="00C0313D"/>
    <w:rsid w:val="00C07BE6"/>
    <w:rsid w:val="00C12432"/>
    <w:rsid w:val="00C13806"/>
    <w:rsid w:val="00C13F12"/>
    <w:rsid w:val="00C147F2"/>
    <w:rsid w:val="00C20384"/>
    <w:rsid w:val="00C2181E"/>
    <w:rsid w:val="00C24554"/>
    <w:rsid w:val="00C30321"/>
    <w:rsid w:val="00C32A14"/>
    <w:rsid w:val="00C343CD"/>
    <w:rsid w:val="00C36F47"/>
    <w:rsid w:val="00C40177"/>
    <w:rsid w:val="00C40984"/>
    <w:rsid w:val="00C41C86"/>
    <w:rsid w:val="00C426EA"/>
    <w:rsid w:val="00C428B1"/>
    <w:rsid w:val="00C446D3"/>
    <w:rsid w:val="00C53BEA"/>
    <w:rsid w:val="00C54BD6"/>
    <w:rsid w:val="00C55B44"/>
    <w:rsid w:val="00C55DA6"/>
    <w:rsid w:val="00C57967"/>
    <w:rsid w:val="00C63A6C"/>
    <w:rsid w:val="00C67B62"/>
    <w:rsid w:val="00C80C58"/>
    <w:rsid w:val="00C83EB0"/>
    <w:rsid w:val="00C87158"/>
    <w:rsid w:val="00C91286"/>
    <w:rsid w:val="00C9734C"/>
    <w:rsid w:val="00CA0F56"/>
    <w:rsid w:val="00CA13AF"/>
    <w:rsid w:val="00CA1444"/>
    <w:rsid w:val="00CB0831"/>
    <w:rsid w:val="00CB0F2C"/>
    <w:rsid w:val="00CB1590"/>
    <w:rsid w:val="00CB463F"/>
    <w:rsid w:val="00CB5C56"/>
    <w:rsid w:val="00CB5C87"/>
    <w:rsid w:val="00CB5CF0"/>
    <w:rsid w:val="00CB7600"/>
    <w:rsid w:val="00CC0E9D"/>
    <w:rsid w:val="00CC2915"/>
    <w:rsid w:val="00CC2DAA"/>
    <w:rsid w:val="00CC3433"/>
    <w:rsid w:val="00CC3639"/>
    <w:rsid w:val="00CD45C8"/>
    <w:rsid w:val="00CD64BD"/>
    <w:rsid w:val="00CD6687"/>
    <w:rsid w:val="00CD67DB"/>
    <w:rsid w:val="00CD688D"/>
    <w:rsid w:val="00CD7E0F"/>
    <w:rsid w:val="00CE1AAF"/>
    <w:rsid w:val="00CE4F2C"/>
    <w:rsid w:val="00CE7500"/>
    <w:rsid w:val="00CF13E7"/>
    <w:rsid w:val="00CF2FF9"/>
    <w:rsid w:val="00CF3AC9"/>
    <w:rsid w:val="00CF574E"/>
    <w:rsid w:val="00CF6FFE"/>
    <w:rsid w:val="00D00B1D"/>
    <w:rsid w:val="00D00CB7"/>
    <w:rsid w:val="00D020D9"/>
    <w:rsid w:val="00D02926"/>
    <w:rsid w:val="00D067FF"/>
    <w:rsid w:val="00D20011"/>
    <w:rsid w:val="00D23B07"/>
    <w:rsid w:val="00D25F16"/>
    <w:rsid w:val="00D26C12"/>
    <w:rsid w:val="00D3000D"/>
    <w:rsid w:val="00D31327"/>
    <w:rsid w:val="00D34FB0"/>
    <w:rsid w:val="00D4089B"/>
    <w:rsid w:val="00D456E6"/>
    <w:rsid w:val="00D45ABF"/>
    <w:rsid w:val="00D471B4"/>
    <w:rsid w:val="00D52A2B"/>
    <w:rsid w:val="00D533AC"/>
    <w:rsid w:val="00D53451"/>
    <w:rsid w:val="00D56982"/>
    <w:rsid w:val="00D6559C"/>
    <w:rsid w:val="00D65A1C"/>
    <w:rsid w:val="00D728E7"/>
    <w:rsid w:val="00D77402"/>
    <w:rsid w:val="00D8125B"/>
    <w:rsid w:val="00D81690"/>
    <w:rsid w:val="00D82549"/>
    <w:rsid w:val="00D8494E"/>
    <w:rsid w:val="00D8567A"/>
    <w:rsid w:val="00D91626"/>
    <w:rsid w:val="00D9785F"/>
    <w:rsid w:val="00DA3388"/>
    <w:rsid w:val="00DA3F44"/>
    <w:rsid w:val="00DA4ABB"/>
    <w:rsid w:val="00DB12B8"/>
    <w:rsid w:val="00DB3DD4"/>
    <w:rsid w:val="00DB3E4B"/>
    <w:rsid w:val="00DB4CB2"/>
    <w:rsid w:val="00DB5040"/>
    <w:rsid w:val="00DC4226"/>
    <w:rsid w:val="00DD4B8C"/>
    <w:rsid w:val="00DE21D4"/>
    <w:rsid w:val="00DE2231"/>
    <w:rsid w:val="00DE7E24"/>
    <w:rsid w:val="00DF0A60"/>
    <w:rsid w:val="00DF130C"/>
    <w:rsid w:val="00DF35FA"/>
    <w:rsid w:val="00DF76CE"/>
    <w:rsid w:val="00E0365A"/>
    <w:rsid w:val="00E1279A"/>
    <w:rsid w:val="00E132C7"/>
    <w:rsid w:val="00E137AA"/>
    <w:rsid w:val="00E147BB"/>
    <w:rsid w:val="00E155A5"/>
    <w:rsid w:val="00E16251"/>
    <w:rsid w:val="00E17597"/>
    <w:rsid w:val="00E17E28"/>
    <w:rsid w:val="00E21CA9"/>
    <w:rsid w:val="00E25C5E"/>
    <w:rsid w:val="00E268F9"/>
    <w:rsid w:val="00E26A22"/>
    <w:rsid w:val="00E26DD0"/>
    <w:rsid w:val="00E31063"/>
    <w:rsid w:val="00E35BD2"/>
    <w:rsid w:val="00E36FE9"/>
    <w:rsid w:val="00E3780B"/>
    <w:rsid w:val="00E40294"/>
    <w:rsid w:val="00E439FF"/>
    <w:rsid w:val="00E44052"/>
    <w:rsid w:val="00E54611"/>
    <w:rsid w:val="00E567D7"/>
    <w:rsid w:val="00E56A8A"/>
    <w:rsid w:val="00E572A6"/>
    <w:rsid w:val="00E60D21"/>
    <w:rsid w:val="00E63059"/>
    <w:rsid w:val="00E63290"/>
    <w:rsid w:val="00E63AA1"/>
    <w:rsid w:val="00E63B18"/>
    <w:rsid w:val="00E66063"/>
    <w:rsid w:val="00E66991"/>
    <w:rsid w:val="00E717A6"/>
    <w:rsid w:val="00E7186D"/>
    <w:rsid w:val="00E73E98"/>
    <w:rsid w:val="00E75223"/>
    <w:rsid w:val="00E82BD4"/>
    <w:rsid w:val="00E82DC1"/>
    <w:rsid w:val="00E83C14"/>
    <w:rsid w:val="00E847B0"/>
    <w:rsid w:val="00E85038"/>
    <w:rsid w:val="00E86C52"/>
    <w:rsid w:val="00E907E8"/>
    <w:rsid w:val="00E90D72"/>
    <w:rsid w:val="00E93B22"/>
    <w:rsid w:val="00E951BE"/>
    <w:rsid w:val="00E96DE9"/>
    <w:rsid w:val="00E96E15"/>
    <w:rsid w:val="00EA089C"/>
    <w:rsid w:val="00EA0BE1"/>
    <w:rsid w:val="00EA194D"/>
    <w:rsid w:val="00EA1DE6"/>
    <w:rsid w:val="00EA512F"/>
    <w:rsid w:val="00EA5DF0"/>
    <w:rsid w:val="00EA7E50"/>
    <w:rsid w:val="00EB16EB"/>
    <w:rsid w:val="00EB304E"/>
    <w:rsid w:val="00EB3A72"/>
    <w:rsid w:val="00EB5228"/>
    <w:rsid w:val="00EB56C7"/>
    <w:rsid w:val="00EB7C18"/>
    <w:rsid w:val="00EC23AC"/>
    <w:rsid w:val="00EC269C"/>
    <w:rsid w:val="00EC2992"/>
    <w:rsid w:val="00ED46A4"/>
    <w:rsid w:val="00ED6FD9"/>
    <w:rsid w:val="00ED7782"/>
    <w:rsid w:val="00EE3810"/>
    <w:rsid w:val="00EE67E4"/>
    <w:rsid w:val="00EF32F8"/>
    <w:rsid w:val="00EF4D16"/>
    <w:rsid w:val="00F03018"/>
    <w:rsid w:val="00F03A3F"/>
    <w:rsid w:val="00F11DE8"/>
    <w:rsid w:val="00F12D02"/>
    <w:rsid w:val="00F12E7E"/>
    <w:rsid w:val="00F13CC1"/>
    <w:rsid w:val="00F144C5"/>
    <w:rsid w:val="00F16BD8"/>
    <w:rsid w:val="00F17AA6"/>
    <w:rsid w:val="00F22AE1"/>
    <w:rsid w:val="00F24D9F"/>
    <w:rsid w:val="00F25A8B"/>
    <w:rsid w:val="00F3336A"/>
    <w:rsid w:val="00F35711"/>
    <w:rsid w:val="00F35D7D"/>
    <w:rsid w:val="00F360FD"/>
    <w:rsid w:val="00F37B0B"/>
    <w:rsid w:val="00F37EBB"/>
    <w:rsid w:val="00F41752"/>
    <w:rsid w:val="00F419F8"/>
    <w:rsid w:val="00F42560"/>
    <w:rsid w:val="00F43F62"/>
    <w:rsid w:val="00F51323"/>
    <w:rsid w:val="00F52CB9"/>
    <w:rsid w:val="00F56E69"/>
    <w:rsid w:val="00F63C3B"/>
    <w:rsid w:val="00F64FE4"/>
    <w:rsid w:val="00F66531"/>
    <w:rsid w:val="00F67188"/>
    <w:rsid w:val="00F71359"/>
    <w:rsid w:val="00F719C6"/>
    <w:rsid w:val="00F765E1"/>
    <w:rsid w:val="00F77CEF"/>
    <w:rsid w:val="00F811AE"/>
    <w:rsid w:val="00F858EB"/>
    <w:rsid w:val="00F86CF9"/>
    <w:rsid w:val="00F87BD0"/>
    <w:rsid w:val="00F905E6"/>
    <w:rsid w:val="00F9430F"/>
    <w:rsid w:val="00F95628"/>
    <w:rsid w:val="00F959DB"/>
    <w:rsid w:val="00FA0F3A"/>
    <w:rsid w:val="00FA2BC5"/>
    <w:rsid w:val="00FA5DAB"/>
    <w:rsid w:val="00FB0C1D"/>
    <w:rsid w:val="00FB744E"/>
    <w:rsid w:val="00FC54DF"/>
    <w:rsid w:val="00FC66ED"/>
    <w:rsid w:val="00FD288E"/>
    <w:rsid w:val="00FD3A1F"/>
    <w:rsid w:val="00FD5100"/>
    <w:rsid w:val="00FD5FCE"/>
    <w:rsid w:val="00FD70A4"/>
    <w:rsid w:val="00FE17A4"/>
    <w:rsid w:val="00FE2364"/>
    <w:rsid w:val="00FE48BA"/>
    <w:rsid w:val="00FE69FB"/>
    <w:rsid w:val="00FF02F8"/>
    <w:rsid w:val="00FF3D06"/>
    <w:rsid w:val="00FF5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AE1D"/>
  <w15:chartTrackingRefBased/>
  <w15:docId w15:val="{CBC5D794-6C8F-4659-9494-761E0F2E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bidi/>
      <w:adjustRightInd w:val="0"/>
      <w:textAlignment w:val="baseline"/>
    </w:pPr>
    <w:rPr>
      <w:rFonts w:cs="David"/>
      <w:szCs w:val="24"/>
    </w:rPr>
  </w:style>
  <w:style w:type="paragraph" w:styleId="Heading1">
    <w:name w:val="heading 1"/>
    <w:basedOn w:val="Normal"/>
    <w:link w:val="Heading1Char"/>
    <w:uiPriority w:val="9"/>
    <w:qFormat/>
    <w:rsid w:val="00B75449"/>
    <w:pPr>
      <w:overflowPunct/>
      <w:autoSpaceDE/>
      <w:autoSpaceDN/>
      <w:bidi w:val="0"/>
      <w:adjustRightInd/>
      <w:spacing w:before="100" w:beforeAutospacing="1" w:after="100" w:afterAutospacing="1"/>
      <w:textAlignment w:val="auto"/>
      <w:outlineLvl w:val="0"/>
    </w:pPr>
    <w:rPr>
      <w:rFonts w:cs="Times New Roman"/>
      <w:b/>
      <w:bCs/>
      <w:kern w:val="36"/>
      <w:sz w:val="48"/>
      <w:szCs w:val="48"/>
    </w:rPr>
  </w:style>
  <w:style w:type="paragraph" w:styleId="Heading3">
    <w:name w:val="heading 3"/>
    <w:basedOn w:val="Normal"/>
    <w:next w:val="Normal"/>
    <w:link w:val="Heading3Char"/>
    <w:semiHidden/>
    <w:unhideWhenUsed/>
    <w:qFormat/>
    <w:rsid w:val="00B75449"/>
    <w:pPr>
      <w:keepNext/>
      <w:keepLines/>
      <w:spacing w:before="40" w:line="360" w:lineRule="auto"/>
      <w:outlineLvl w:val="2"/>
    </w:pPr>
    <w:rPr>
      <w:rFonts w:asciiTheme="majorHAnsi" w:eastAsiaTheme="majorEastAsia" w:hAnsiTheme="majorHAnsi" w:cstheme="majorBidi"/>
      <w:color w:val="1F4D78" w:themeColor="accent1" w:themeShade="7F"/>
      <w:spacing w:val="10"/>
      <w:sz w:val="24"/>
    </w:rPr>
  </w:style>
  <w:style w:type="paragraph" w:styleId="Heading5">
    <w:name w:val="heading 5"/>
    <w:basedOn w:val="Normal"/>
    <w:next w:val="Normal"/>
    <w:link w:val="Heading5Char"/>
    <w:semiHidden/>
    <w:unhideWhenUsed/>
    <w:qFormat/>
    <w:rsid w:val="00B75449"/>
    <w:pPr>
      <w:keepNext/>
      <w:keepLines/>
      <w:spacing w:before="40" w:line="360" w:lineRule="auto"/>
      <w:outlineLvl w:val="4"/>
    </w:pPr>
    <w:rPr>
      <w:rFonts w:asciiTheme="majorHAnsi" w:eastAsiaTheme="majorEastAsia" w:hAnsiTheme="majorHAnsi" w:cstheme="majorBidi"/>
      <w:color w:val="2E74B5" w:themeColor="accent1" w:themeShade="BF"/>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3">
    <w:name w:val="Ruller 3"/>
    <w:basedOn w:val="Normal"/>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Normal"/>
    <w:pPr>
      <w:spacing w:line="360" w:lineRule="auto"/>
    </w:pPr>
    <w:rPr>
      <w:b/>
      <w:bCs/>
      <w:u w:val="single"/>
    </w:rPr>
  </w:style>
  <w:style w:type="paragraph" w:customStyle="1" w:styleId="FileNumber">
    <w:name w:val="File Number"/>
    <w:basedOn w:val="Normal"/>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Normal"/>
    <w:pPr>
      <w:jc w:val="center"/>
    </w:pPr>
    <w:rPr>
      <w:b/>
      <w:bCs/>
      <w:i/>
      <w:iCs/>
      <w:sz w:val="28"/>
      <w:szCs w:val="28"/>
    </w:rPr>
  </w:style>
  <w:style w:type="paragraph" w:customStyle="1" w:styleId="DocumentHead">
    <w:name w:val="Document Head"/>
    <w:basedOn w:val="Normal"/>
    <w:pPr>
      <w:spacing w:line="360" w:lineRule="auto"/>
      <w:jc w:val="center"/>
    </w:pPr>
    <w:rPr>
      <w:bCs/>
      <w:spacing w:val="30"/>
      <w:szCs w:val="28"/>
      <w:u w:val="single"/>
    </w:rPr>
  </w:style>
  <w:style w:type="paragraph" w:customStyle="1" w:styleId="TfutzaList">
    <w:name w:val="Tfutza List"/>
    <w:basedOn w:val="Normal"/>
    <w:rPr>
      <w:i/>
      <w:iCs/>
    </w:rPr>
  </w:style>
  <w:style w:type="paragraph" w:customStyle="1" w:styleId="Ruller41">
    <w:name w:val="Ruller4"/>
    <w:basedOn w:val="Normal"/>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link w:val="Ruller50"/>
    <w:rsid w:val="00A51FAE"/>
    <w:pPr>
      <w:ind w:left="1642" w:right="1282"/>
      <w:jc w:val="both"/>
    </w:pPr>
    <w:rPr>
      <w:rFonts w:ascii="Arial TUR" w:hAnsi="Arial TUR" w:cs="FrankRuehl"/>
      <w:spacing w:val="10"/>
      <w:sz w:val="22"/>
      <w:szCs w:val="28"/>
    </w:rPr>
  </w:style>
  <w:style w:type="paragraph" w:customStyle="1" w:styleId="Ruller6">
    <w:name w:val="Ruller6"/>
    <w:basedOn w:val="Normal"/>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2">
    <w:name w:val="ñâðåï2"/>
    <w:basedOn w:val="Normal"/>
    <w:pPr>
      <w:overflowPunct/>
      <w:textAlignment w:val="auto"/>
    </w:pPr>
    <w:rPr>
      <w:rFonts w:cs="Times New Roman"/>
    </w:rPr>
  </w:style>
  <w:style w:type="paragraph" w:customStyle="1" w:styleId="Casenameintextbody">
    <w:name w:val="Case name in text body"/>
    <w:basedOn w:val="Normal"/>
    <w:pPr>
      <w:overflowPunct/>
      <w:jc w:val="right"/>
      <w:textAlignment w:val="auto"/>
    </w:pPr>
    <w:rPr>
      <w:rFonts w:cs="Times New Roman"/>
      <w:b/>
      <w:bCs/>
      <w:u w:val="single"/>
    </w:rPr>
  </w:style>
  <w:style w:type="paragraph" w:customStyle="1" w:styleId="precasestyle">
    <w:name w:val="pre_case style"/>
    <w:basedOn w:val="Normal"/>
    <w:pPr>
      <w:tabs>
        <w:tab w:val="left" w:pos="2552"/>
      </w:tabs>
      <w:overflowPunct/>
      <w:ind w:right="2549"/>
      <w:textAlignment w:val="auto"/>
    </w:pPr>
    <w:rPr>
      <w:rFonts w:cs="Times New Roman"/>
    </w:rPr>
  </w:style>
  <w:style w:type="paragraph" w:customStyle="1" w:styleId="BodyRuller">
    <w:name w:val="Body Ruller"/>
    <w:basedOn w:val="Normal"/>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Normal"/>
    <w:rsid w:val="00036227"/>
    <w:rPr>
      <w:rFonts w:cs="FrankRuehl"/>
      <w:spacing w:val="10"/>
      <w:sz w:val="22"/>
      <w:szCs w:val="28"/>
    </w:rPr>
  </w:style>
  <w:style w:type="character" w:styleId="Hyperlink">
    <w:name w:val="Hyperlink"/>
    <w:uiPriority w:val="99"/>
    <w:rsid w:val="003F1F97"/>
    <w:rPr>
      <w:color w:val="0000FF"/>
      <w:u w:val="single"/>
    </w:rPr>
  </w:style>
  <w:style w:type="table" w:styleId="TableGrid">
    <w:name w:val="Table Grid"/>
    <w:basedOn w:val="TableNormal"/>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440A"/>
    <w:rPr>
      <w:color w:val="954F72" w:themeColor="followedHyperlink"/>
      <w:u w:val="single"/>
    </w:rPr>
  </w:style>
  <w:style w:type="character" w:styleId="CommentReference">
    <w:name w:val="annotation reference"/>
    <w:basedOn w:val="DefaultParagraphFont"/>
    <w:rsid w:val="00D00B1D"/>
    <w:rPr>
      <w:sz w:val="16"/>
      <w:szCs w:val="16"/>
    </w:rPr>
  </w:style>
  <w:style w:type="paragraph" w:styleId="CommentText">
    <w:name w:val="annotation text"/>
    <w:basedOn w:val="Normal"/>
    <w:link w:val="CommentTextChar"/>
    <w:rsid w:val="00D00B1D"/>
    <w:rPr>
      <w:szCs w:val="20"/>
    </w:rPr>
  </w:style>
  <w:style w:type="character" w:customStyle="1" w:styleId="CommentTextChar">
    <w:name w:val="Comment Text Char"/>
    <w:basedOn w:val="DefaultParagraphFont"/>
    <w:link w:val="CommentText"/>
    <w:rsid w:val="00D00B1D"/>
    <w:rPr>
      <w:rFonts w:cs="David"/>
    </w:rPr>
  </w:style>
  <w:style w:type="paragraph" w:styleId="CommentSubject">
    <w:name w:val="annotation subject"/>
    <w:basedOn w:val="CommentText"/>
    <w:next w:val="CommentText"/>
    <w:link w:val="CommentSubjectChar"/>
    <w:rsid w:val="00D00B1D"/>
    <w:rPr>
      <w:b/>
      <w:bCs/>
    </w:rPr>
  </w:style>
  <w:style w:type="character" w:customStyle="1" w:styleId="CommentSubjectChar">
    <w:name w:val="Comment Subject Char"/>
    <w:basedOn w:val="CommentTextChar"/>
    <w:link w:val="CommentSubject"/>
    <w:rsid w:val="00D00B1D"/>
    <w:rPr>
      <w:rFonts w:cs="David"/>
      <w:b/>
      <w:bCs/>
    </w:rPr>
  </w:style>
  <w:style w:type="paragraph" w:styleId="BalloonText">
    <w:name w:val="Balloon Text"/>
    <w:basedOn w:val="Normal"/>
    <w:link w:val="BalloonTextChar"/>
    <w:rsid w:val="00D00B1D"/>
    <w:rPr>
      <w:rFonts w:ascii="Tahoma" w:hAnsi="Tahoma" w:cs="Tahoma"/>
      <w:sz w:val="18"/>
      <w:szCs w:val="18"/>
    </w:rPr>
  </w:style>
  <w:style w:type="character" w:customStyle="1" w:styleId="BalloonTextChar">
    <w:name w:val="Balloon Text Char"/>
    <w:basedOn w:val="DefaultParagraphFont"/>
    <w:link w:val="BalloonText"/>
    <w:rsid w:val="00D00B1D"/>
    <w:rPr>
      <w:rFonts w:ascii="Tahoma" w:hAnsi="Tahoma" w:cs="Tahoma"/>
      <w:sz w:val="18"/>
      <w:szCs w:val="18"/>
    </w:rPr>
  </w:style>
  <w:style w:type="paragraph" w:customStyle="1" w:styleId="ruller31">
    <w:name w:val="ruller 3"/>
    <w:basedOn w:val="Casenameintextbody"/>
    <w:rsid w:val="005B1E2D"/>
    <w:pPr>
      <w:jc w:val="left"/>
    </w:pPr>
    <w:rPr>
      <w:rFonts w:cs="David"/>
      <w:b w:val="0"/>
      <w:bCs w:val="0"/>
      <w:sz w:val="22"/>
      <w:u w:val="none"/>
    </w:rPr>
  </w:style>
  <w:style w:type="character" w:customStyle="1" w:styleId="Heading1Char">
    <w:name w:val="Heading 1 Char"/>
    <w:basedOn w:val="DefaultParagraphFont"/>
    <w:link w:val="Heading1"/>
    <w:uiPriority w:val="9"/>
    <w:rsid w:val="00B75449"/>
    <w:rPr>
      <w:b/>
      <w:bCs/>
      <w:kern w:val="36"/>
      <w:sz w:val="48"/>
      <w:szCs w:val="48"/>
    </w:rPr>
  </w:style>
  <w:style w:type="character" w:customStyle="1" w:styleId="Heading3Char">
    <w:name w:val="Heading 3 Char"/>
    <w:basedOn w:val="DefaultParagraphFont"/>
    <w:link w:val="Heading3"/>
    <w:semiHidden/>
    <w:rsid w:val="00B75449"/>
    <w:rPr>
      <w:rFonts w:asciiTheme="majorHAnsi" w:eastAsiaTheme="majorEastAsia" w:hAnsiTheme="majorHAnsi" w:cstheme="majorBidi"/>
      <w:color w:val="1F4D78" w:themeColor="accent1" w:themeShade="7F"/>
      <w:spacing w:val="10"/>
      <w:sz w:val="24"/>
      <w:szCs w:val="24"/>
    </w:rPr>
  </w:style>
  <w:style w:type="character" w:customStyle="1" w:styleId="Heading5Char">
    <w:name w:val="Heading 5 Char"/>
    <w:basedOn w:val="DefaultParagraphFont"/>
    <w:link w:val="Heading5"/>
    <w:semiHidden/>
    <w:rsid w:val="00B75449"/>
    <w:rPr>
      <w:rFonts w:asciiTheme="majorHAnsi" w:eastAsiaTheme="majorEastAsia" w:hAnsiTheme="majorHAnsi" w:cstheme="majorBidi"/>
      <w:color w:val="2E74B5" w:themeColor="accent1" w:themeShade="BF"/>
      <w:spacing w:val="10"/>
      <w:szCs w:val="28"/>
    </w:rPr>
  </w:style>
  <w:style w:type="character" w:customStyle="1" w:styleId="FooterChar">
    <w:name w:val="Footer Char"/>
    <w:basedOn w:val="DefaultParagraphFont"/>
    <w:link w:val="Footer"/>
    <w:rsid w:val="00B75449"/>
    <w:rPr>
      <w:rFonts w:cs="David"/>
      <w:szCs w:val="24"/>
    </w:rPr>
  </w:style>
  <w:style w:type="character" w:customStyle="1" w:styleId="HeaderChar">
    <w:name w:val="Header Char"/>
    <w:basedOn w:val="DefaultParagraphFont"/>
    <w:link w:val="Header"/>
    <w:rsid w:val="00B75449"/>
    <w:rPr>
      <w:rFonts w:cs="David"/>
      <w:szCs w:val="24"/>
    </w:rPr>
  </w:style>
  <w:style w:type="paragraph" w:customStyle="1" w:styleId="Ruller4">
    <w:name w:val="Ruller 4 ממוספר"/>
    <w:basedOn w:val="Ruller41"/>
    <w:next w:val="Ruller41"/>
    <w:link w:val="Ruller43"/>
    <w:rsid w:val="00B75449"/>
    <w:pPr>
      <w:numPr>
        <w:numId w:val="11"/>
      </w:numPr>
    </w:pPr>
    <w:rPr>
      <w:rFonts w:ascii="Garamond" w:hAnsi="Garamond"/>
      <w:sz w:val="24"/>
    </w:rPr>
  </w:style>
  <w:style w:type="paragraph" w:customStyle="1" w:styleId="Ruller40">
    <w:name w:val="Ruller4 אלפביתי"/>
    <w:basedOn w:val="Ruller41"/>
    <w:next w:val="Ruller41"/>
    <w:rsid w:val="00B75449"/>
    <w:pPr>
      <w:numPr>
        <w:numId w:val="12"/>
      </w:numPr>
    </w:pPr>
  </w:style>
  <w:style w:type="paragraph" w:customStyle="1" w:styleId="a">
    <w:name w:val="כללי"/>
    <w:basedOn w:val="Normal"/>
    <w:link w:val="a0"/>
    <w:rsid w:val="00B75449"/>
    <w:pPr>
      <w:spacing w:after="240" w:line="280" w:lineRule="exact"/>
      <w:ind w:firstLine="284"/>
      <w:jc w:val="both"/>
    </w:pPr>
    <w:rPr>
      <w:rFonts w:cs="FrankRuehl"/>
      <w:lang w:eastAsia="he-IL"/>
    </w:rPr>
  </w:style>
  <w:style w:type="paragraph" w:styleId="Quote">
    <w:name w:val="Quote"/>
    <w:basedOn w:val="a"/>
    <w:link w:val="QuoteChar"/>
    <w:qFormat/>
    <w:rsid w:val="00B75449"/>
    <w:pPr>
      <w:ind w:left="454" w:right="454" w:firstLine="0"/>
    </w:pPr>
  </w:style>
  <w:style w:type="character" w:customStyle="1" w:styleId="QuoteChar">
    <w:name w:val="Quote Char"/>
    <w:basedOn w:val="DefaultParagraphFont"/>
    <w:link w:val="Quote"/>
    <w:rsid w:val="00B75449"/>
    <w:rPr>
      <w:rFonts w:cs="FrankRuehl"/>
      <w:szCs w:val="24"/>
      <w:lang w:eastAsia="he-IL"/>
    </w:rPr>
  </w:style>
  <w:style w:type="character" w:customStyle="1" w:styleId="default">
    <w:name w:val="default"/>
    <w:basedOn w:val="DefaultParagraphFont"/>
    <w:rsid w:val="00B75449"/>
  </w:style>
  <w:style w:type="paragraph" w:customStyle="1" w:styleId="P00">
    <w:name w:val="P00"/>
    <w:link w:val="P000"/>
    <w:rsid w:val="00B7544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P000">
    <w:name w:val="P00 תו"/>
    <w:basedOn w:val="DefaultParagraphFont"/>
    <w:link w:val="P00"/>
    <w:rsid w:val="00B75449"/>
    <w:rPr>
      <w:noProof/>
      <w:szCs w:val="26"/>
      <w:lang w:eastAsia="he-IL"/>
    </w:rPr>
  </w:style>
  <w:style w:type="character" w:customStyle="1" w:styleId="big-number">
    <w:name w:val="big-number"/>
    <w:rsid w:val="00B75449"/>
    <w:rPr>
      <w:rFonts w:ascii="Times New Roman" w:hAnsi="Times New Roman" w:cs="Times New Roman"/>
      <w:sz w:val="32"/>
      <w:szCs w:val="32"/>
    </w:rPr>
  </w:style>
  <w:style w:type="character" w:customStyle="1" w:styleId="a0">
    <w:name w:val="כללי תו"/>
    <w:basedOn w:val="DefaultParagraphFont"/>
    <w:link w:val="a"/>
    <w:rsid w:val="00B75449"/>
    <w:rPr>
      <w:rFonts w:cs="FrankRuehl"/>
      <w:szCs w:val="24"/>
      <w:lang w:eastAsia="he-IL"/>
    </w:rPr>
  </w:style>
  <w:style w:type="paragraph" w:customStyle="1" w:styleId="big-header">
    <w:name w:val="big-header"/>
    <w:basedOn w:val="Normal"/>
    <w:rsid w:val="00B75449"/>
    <w:pPr>
      <w:keepNext/>
      <w:keepLines/>
      <w:widowControl w:val="0"/>
      <w:tabs>
        <w:tab w:val="left" w:pos="624"/>
        <w:tab w:val="left" w:pos="1021"/>
        <w:tab w:val="left" w:pos="1474"/>
        <w:tab w:val="left" w:pos="1928"/>
        <w:tab w:val="left" w:pos="2381"/>
        <w:tab w:val="left" w:pos="2835"/>
      </w:tabs>
      <w:suppressAutoHyphens/>
      <w:overflowPunct/>
      <w:adjustRightInd/>
      <w:spacing w:before="440" w:after="120"/>
      <w:ind w:left="2835"/>
      <w:jc w:val="center"/>
      <w:textAlignment w:val="auto"/>
    </w:pPr>
    <w:rPr>
      <w:rFonts w:cs="Times New Roman"/>
      <w:noProof/>
      <w:szCs w:val="32"/>
      <w:lang w:eastAsia="he-IL"/>
    </w:rPr>
  </w:style>
  <w:style w:type="paragraph" w:styleId="ListParagraph">
    <w:name w:val="List Paragraph"/>
    <w:basedOn w:val="Normal"/>
    <w:uiPriority w:val="34"/>
    <w:qFormat/>
    <w:rsid w:val="00B75449"/>
    <w:pPr>
      <w:spacing w:line="360" w:lineRule="auto"/>
      <w:ind w:left="720"/>
      <w:contextualSpacing/>
    </w:pPr>
    <w:rPr>
      <w:rFonts w:ascii="Century" w:hAnsi="Century" w:cs="FrankRuehl"/>
      <w:spacing w:val="10"/>
      <w:szCs w:val="28"/>
    </w:rPr>
  </w:style>
  <w:style w:type="character" w:customStyle="1" w:styleId="Ruller42">
    <w:name w:val="Ruller4 תו"/>
    <w:basedOn w:val="DefaultParagraphFont"/>
    <w:link w:val="Ruller41"/>
    <w:locked/>
    <w:rsid w:val="00B75449"/>
    <w:rPr>
      <w:rFonts w:ascii="Arial TUR" w:hAnsi="Arial TUR" w:cs="FrankRuehl"/>
      <w:spacing w:val="10"/>
      <w:sz w:val="22"/>
      <w:szCs w:val="28"/>
    </w:rPr>
  </w:style>
  <w:style w:type="paragraph" w:customStyle="1" w:styleId="page">
    <w:name w:val="page"/>
    <w:rsid w:val="00B75449"/>
    <w:pPr>
      <w:widowControl w:val="0"/>
      <w:autoSpaceDE w:val="0"/>
      <w:autoSpaceDN w:val="0"/>
      <w:bidi/>
    </w:pPr>
    <w:rPr>
      <w:noProof/>
      <w:position w:val="4"/>
      <w:szCs w:val="22"/>
      <w:lang w:eastAsia="he-IL"/>
    </w:rPr>
  </w:style>
  <w:style w:type="character" w:customStyle="1" w:styleId="Ruller50">
    <w:name w:val="Ruller5 תו"/>
    <w:link w:val="Ruller5"/>
    <w:locked/>
    <w:rsid w:val="00B75449"/>
    <w:rPr>
      <w:rFonts w:ascii="Arial TUR" w:hAnsi="Arial TUR" w:cs="FrankRuehl"/>
      <w:spacing w:val="10"/>
      <w:sz w:val="22"/>
      <w:szCs w:val="28"/>
    </w:rPr>
  </w:style>
  <w:style w:type="character" w:customStyle="1" w:styleId="Ruller43">
    <w:name w:val="Ruller 4 ממוספר תו"/>
    <w:link w:val="Ruller4"/>
    <w:locked/>
    <w:rsid w:val="00B75449"/>
    <w:rPr>
      <w:rFonts w:ascii="Garamond" w:hAnsi="Garamond" w:cs="FrankRuehl"/>
      <w:spacing w:val="10"/>
      <w:sz w:val="24"/>
      <w:szCs w:val="28"/>
    </w:rPr>
  </w:style>
  <w:style w:type="paragraph" w:customStyle="1" w:styleId="21">
    <w:name w:val="כותרת 21"/>
    <w:basedOn w:val="Normal"/>
    <w:rsid w:val="00B75449"/>
    <w:pPr>
      <w:numPr>
        <w:numId w:val="21"/>
      </w:numPr>
      <w:tabs>
        <w:tab w:val="clear" w:pos="794"/>
        <w:tab w:val="left" w:pos="720"/>
      </w:tabs>
      <w:textAlignment w:val="auto"/>
    </w:pPr>
  </w:style>
  <w:style w:type="paragraph" w:customStyle="1" w:styleId="a1">
    <w:name w:val="a"/>
    <w:basedOn w:val="Normal"/>
    <w:rsid w:val="00B75449"/>
    <w:pPr>
      <w:overflowPunct/>
      <w:autoSpaceDE/>
      <w:autoSpaceDN/>
      <w:bidi w:val="0"/>
      <w:adjustRightInd/>
      <w:spacing w:before="100" w:beforeAutospacing="1" w:after="100" w:afterAutospacing="1"/>
      <w:textAlignment w:val="auto"/>
    </w:pPr>
    <w:rPr>
      <w:rFonts w:cs="Times New Roman"/>
      <w:sz w:val="24"/>
    </w:rPr>
  </w:style>
  <w:style w:type="paragraph" w:customStyle="1" w:styleId="a4">
    <w:name w:val="a4"/>
    <w:basedOn w:val="Normal"/>
    <w:rsid w:val="00B75449"/>
    <w:pPr>
      <w:overflowPunct/>
      <w:autoSpaceDE/>
      <w:autoSpaceDN/>
      <w:bidi w:val="0"/>
      <w:adjustRightInd/>
      <w:spacing w:before="100" w:beforeAutospacing="1" w:after="100" w:afterAutospacing="1"/>
      <w:textAlignment w:val="auto"/>
    </w:pPr>
    <w:rPr>
      <w:rFonts w:cs="Times New Roman"/>
      <w:sz w:val="24"/>
    </w:rPr>
  </w:style>
  <w:style w:type="paragraph" w:customStyle="1" w:styleId="ruller44">
    <w:name w:val="ruller4"/>
    <w:basedOn w:val="Normal"/>
    <w:rsid w:val="00B75449"/>
    <w:pPr>
      <w:overflowPunct/>
      <w:autoSpaceDE/>
      <w:autoSpaceDN/>
      <w:bidi w:val="0"/>
      <w:adjustRightInd/>
      <w:spacing w:before="100" w:beforeAutospacing="1" w:after="100" w:afterAutospacing="1"/>
      <w:textAlignment w:val="auto"/>
    </w:pPr>
    <w:rPr>
      <w:rFonts w:cs="Times New Roman"/>
      <w:sz w:val="24"/>
    </w:rPr>
  </w:style>
  <w:style w:type="paragraph" w:styleId="PlainText">
    <w:name w:val="Plain Text"/>
    <w:basedOn w:val="Normal"/>
    <w:link w:val="PlainTextChar"/>
    <w:uiPriority w:val="99"/>
    <w:unhideWhenUsed/>
    <w:rsid w:val="00B75449"/>
    <w:pPr>
      <w:overflowPunct/>
      <w:autoSpaceDE/>
      <w:autoSpaceDN/>
      <w:adjustRightInd/>
      <w:textAlignment w:val="auto"/>
    </w:pPr>
    <w:rPr>
      <w:rFonts w:ascii="Courier New" w:hAnsi="Courier New" w:cs="Courier New"/>
      <w:szCs w:val="20"/>
      <w:lang w:eastAsia="he-IL"/>
    </w:rPr>
  </w:style>
  <w:style w:type="character" w:customStyle="1" w:styleId="PlainTextChar">
    <w:name w:val="Plain Text Char"/>
    <w:basedOn w:val="DefaultParagraphFont"/>
    <w:link w:val="PlainText"/>
    <w:uiPriority w:val="99"/>
    <w:rsid w:val="00B75449"/>
    <w:rPr>
      <w:rFonts w:ascii="Courier New" w:hAnsi="Courier New" w:cs="Courier New"/>
      <w:lang w:eastAsia="he-IL"/>
    </w:rPr>
  </w:style>
  <w:style w:type="character" w:styleId="FootnoteReference">
    <w:name w:val="footnote reference"/>
    <w:basedOn w:val="DefaultParagraphFont"/>
    <w:uiPriority w:val="99"/>
    <w:unhideWhenUsed/>
    <w:rsid w:val="00B75449"/>
  </w:style>
  <w:style w:type="paragraph" w:customStyle="1" w:styleId="p001">
    <w:name w:val="p00"/>
    <w:basedOn w:val="Normal"/>
    <w:rsid w:val="00B75449"/>
    <w:pPr>
      <w:overflowPunct/>
      <w:autoSpaceDE/>
      <w:autoSpaceDN/>
      <w:bidi w:val="0"/>
      <w:adjustRightInd/>
      <w:spacing w:before="100" w:beforeAutospacing="1" w:after="100" w:afterAutospacing="1"/>
      <w:textAlignment w:val="auto"/>
    </w:pPr>
    <w:rPr>
      <w:rFonts w:cs="Times New Roman"/>
      <w:sz w:val="24"/>
    </w:rPr>
  </w:style>
  <w:style w:type="paragraph" w:customStyle="1" w:styleId="ruller51">
    <w:name w:val="ruller5"/>
    <w:basedOn w:val="Normal"/>
    <w:rsid w:val="00B75449"/>
    <w:pPr>
      <w:adjustRightInd/>
      <w:ind w:left="1642" w:right="1282"/>
      <w:jc w:val="both"/>
      <w:textAlignment w:val="auto"/>
    </w:pPr>
    <w:rPr>
      <w:rFonts w:ascii="Arial TUR" w:hAnsi="Arial TUR" w:cs="Arial TUR"/>
      <w:spacing w:val="10"/>
      <w:sz w:val="22"/>
      <w:szCs w:val="22"/>
      <w:lang w:eastAsia="he-IL"/>
    </w:rPr>
  </w:style>
  <w:style w:type="paragraph" w:customStyle="1" w:styleId="p22">
    <w:name w:val="p22"/>
    <w:basedOn w:val="Normal"/>
    <w:rsid w:val="00B75449"/>
    <w:pPr>
      <w:overflowPunct/>
      <w:autoSpaceDE/>
      <w:autoSpaceDN/>
      <w:bidi w:val="0"/>
      <w:adjustRightInd/>
      <w:spacing w:before="100" w:beforeAutospacing="1" w:after="100" w:afterAutospacing="1"/>
      <w:textAlignment w:val="auto"/>
    </w:pPr>
    <w:rPr>
      <w:rFonts w:cs="Times New Roman"/>
      <w:sz w:val="24"/>
    </w:rPr>
  </w:style>
  <w:style w:type="paragraph" w:styleId="Revision">
    <w:name w:val="Revision"/>
    <w:hidden/>
    <w:uiPriority w:val="99"/>
    <w:semiHidden/>
    <w:rsid w:val="00B75449"/>
    <w:rPr>
      <w:rFonts w:ascii="Century" w:hAnsi="Century" w:cs="FrankRuehl"/>
      <w:spacing w:val="10"/>
      <w:szCs w:val="28"/>
    </w:rPr>
  </w:style>
  <w:style w:type="character" w:customStyle="1" w:styleId="reference-text">
    <w:name w:val="reference-text"/>
    <w:basedOn w:val="DefaultParagraphFont"/>
    <w:rsid w:val="00B75449"/>
  </w:style>
  <w:style w:type="numbering" w:customStyle="1" w:styleId="1">
    <w:name w:val="ללא רשימה1"/>
    <w:next w:val="NoList"/>
    <w:uiPriority w:val="99"/>
    <w:semiHidden/>
    <w:unhideWhenUsed/>
    <w:rsid w:val="00190218"/>
  </w:style>
  <w:style w:type="numbering" w:customStyle="1" w:styleId="11">
    <w:name w:val="ללא רשימה11"/>
    <w:next w:val="NoList"/>
    <w:uiPriority w:val="99"/>
    <w:semiHidden/>
    <w:unhideWhenUsed/>
    <w:rsid w:val="00190218"/>
  </w:style>
  <w:style w:type="character" w:customStyle="1" w:styleId="a2">
    <w:name w:val="גוף פסק דין תו"/>
    <w:link w:val="a3"/>
    <w:locked/>
    <w:rsid w:val="0062781A"/>
    <w:rPr>
      <w:rFonts w:cs="FrankRuehl"/>
      <w:spacing w:val="10"/>
      <w:sz w:val="24"/>
      <w:szCs w:val="28"/>
    </w:rPr>
  </w:style>
  <w:style w:type="paragraph" w:customStyle="1" w:styleId="a3">
    <w:name w:val="גוף פסק דין"/>
    <w:basedOn w:val="Normal"/>
    <w:link w:val="a2"/>
    <w:autoRedefine/>
    <w:qFormat/>
    <w:rsid w:val="0062781A"/>
    <w:pPr>
      <w:tabs>
        <w:tab w:val="left" w:pos="720"/>
        <w:tab w:val="left" w:pos="800"/>
      </w:tabs>
      <w:spacing w:line="360" w:lineRule="auto"/>
      <w:ind w:firstLine="720"/>
      <w:jc w:val="both"/>
      <w:textAlignment w:val="auto"/>
    </w:pPr>
    <w:rPr>
      <w:rFonts w:cs="FrankRuehl"/>
      <w:spacing w:val="10"/>
      <w:sz w:val="24"/>
      <w:szCs w:val="28"/>
    </w:rPr>
  </w:style>
  <w:style w:type="character" w:customStyle="1" w:styleId="10">
    <w:name w:val="סגנון1 תו"/>
    <w:link w:val="12"/>
    <w:locked/>
    <w:rsid w:val="0062781A"/>
    <w:rPr>
      <w:rFonts w:ascii="FrankRuehl" w:hAnsi="FrankRuehl" w:cs="FrankRuehl"/>
      <w:spacing w:val="10"/>
      <w:sz w:val="24"/>
      <w:szCs w:val="28"/>
    </w:rPr>
  </w:style>
  <w:style w:type="paragraph" w:customStyle="1" w:styleId="12">
    <w:name w:val="סגנון1"/>
    <w:basedOn w:val="a3"/>
    <w:link w:val="10"/>
    <w:autoRedefine/>
    <w:qFormat/>
    <w:rsid w:val="0062781A"/>
    <w:pPr>
      <w:tabs>
        <w:tab w:val="num" w:pos="1049"/>
      </w:tabs>
      <w:ind w:firstLine="0"/>
    </w:pPr>
    <w:rPr>
      <w:rFonts w:ascii="FrankRuehl" w:hAnsi="FrankRuehl"/>
    </w:rPr>
  </w:style>
  <w:style w:type="character" w:customStyle="1" w:styleId="a5">
    <w:name w:val="ציטוט בפסק דין תו"/>
    <w:link w:val="a6"/>
    <w:locked/>
    <w:rsid w:val="0062781A"/>
    <w:rPr>
      <w:rFonts w:ascii="FrankRuehl" w:hAnsi="FrankRuehl" w:cs="FrankRuehl"/>
      <w:spacing w:val="10"/>
      <w:sz w:val="28"/>
      <w:szCs w:val="28"/>
    </w:rPr>
  </w:style>
  <w:style w:type="paragraph" w:customStyle="1" w:styleId="a6">
    <w:name w:val="ציטוט בפסק דין"/>
    <w:basedOn w:val="Normal"/>
    <w:link w:val="a5"/>
    <w:autoRedefine/>
    <w:qFormat/>
    <w:rsid w:val="0062781A"/>
    <w:pPr>
      <w:ind w:left="1642" w:right="1282"/>
      <w:jc w:val="both"/>
      <w:textAlignment w:val="auto"/>
    </w:pPr>
    <w:rPr>
      <w:rFonts w:ascii="FrankRuehl" w:hAnsi="FrankRuehl" w:cs="FrankRuehl"/>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preme.court.gov.i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62EF-B38C-BE41-BBDB-63FEAC70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32021</Words>
  <Characters>182525</Characters>
  <Application>Microsoft Office Word</Application>
  <DocSecurity>0</DocSecurity>
  <Lines>1521</Lines>
  <Paragraphs>428</Paragraphs>
  <ScaleCrop>false</ScaleCrop>
  <HeadingPairs>
    <vt:vector size="2" baseType="variant">
      <vt:variant>
        <vt:lpstr>שם</vt:lpstr>
      </vt:variant>
      <vt:variant>
        <vt:i4>1</vt:i4>
      </vt:variant>
    </vt:vector>
  </HeadingPairs>
  <TitlesOfParts>
    <vt:vector size="1" baseType="lpstr">
      <vt:lpstr>פסק-דין בתיק בג"ץ  1308/17</vt:lpstr>
    </vt:vector>
  </TitlesOfParts>
  <Company/>
  <LinksUpToDate>false</LinksUpToDate>
  <CharactersWithSpaces>214118</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shabtay bendet</dc:creator>
  <cp:keywords/>
  <dc:description/>
  <cp:lastModifiedBy>shabtay bendet</cp:lastModifiedBy>
  <cp:revision>2</cp:revision>
  <cp:lastPrinted>2020-06-09T15:52:00Z</cp:lastPrinted>
  <dcterms:created xsi:type="dcterms:W3CDTF">2020-06-11T11:02:00Z</dcterms:created>
  <dcterms:modified xsi:type="dcterms:W3CDTF">2020-06-11T11:02:00Z</dcterms:modified>
</cp:coreProperties>
</file>